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83B" w:rsidRDefault="00BA46F9" w:rsidP="003A783B">
      <w:pPr>
        <w:pStyle w:val="Web"/>
        <w:spacing w:before="0" w:beforeAutospacing="0"/>
        <w:rPr>
          <w:rFonts w:ascii="標楷體" w:eastAsia="標楷體" w:hAnsi="標楷體"/>
          <w:sz w:val="40"/>
          <w:szCs w:val="40"/>
        </w:rPr>
      </w:pPr>
      <w:r>
        <w:rPr>
          <w:rFonts w:ascii="標楷體" w:eastAsia="標楷體" w:hAnsi="標楷體" w:hint="eastAsia"/>
          <w:sz w:val="40"/>
          <w:szCs w:val="40"/>
        </w:rPr>
        <w:t>國籍</w:t>
      </w:r>
      <w:r w:rsidR="00E05989">
        <w:rPr>
          <w:rFonts w:ascii="標楷體" w:eastAsia="標楷體" w:hAnsi="標楷體" w:hint="eastAsia"/>
          <w:sz w:val="40"/>
          <w:szCs w:val="40"/>
        </w:rPr>
        <w:t>船舶運送業及外國籍船舶運送業營運外輪申辦環島轉運業務審查原則</w:t>
      </w:r>
      <w:r w:rsidR="00D317A7">
        <w:rPr>
          <w:rFonts w:ascii="標楷體" w:eastAsia="標楷體" w:hAnsi="標楷體" w:hint="eastAsia"/>
          <w:sz w:val="40"/>
          <w:szCs w:val="40"/>
        </w:rPr>
        <w:t xml:space="preserve">       </w:t>
      </w:r>
    </w:p>
    <w:p w:rsidR="003A783B" w:rsidRPr="003A783B" w:rsidRDefault="003A783B" w:rsidP="003A783B">
      <w:pPr>
        <w:pStyle w:val="Web"/>
        <w:spacing w:before="0" w:beforeAutospacing="0" w:line="180" w:lineRule="atLeast"/>
        <w:jc w:val="right"/>
        <w:rPr>
          <w:rFonts w:ascii="標楷體" w:eastAsia="標楷體" w:hAnsi="標楷體"/>
          <w:sz w:val="18"/>
          <w:szCs w:val="18"/>
        </w:rPr>
      </w:pPr>
      <w:r w:rsidRPr="003A783B">
        <w:rPr>
          <w:rFonts w:ascii="標楷體" w:eastAsia="標楷體" w:hAnsi="標楷體" w:hint="eastAsia"/>
          <w:sz w:val="18"/>
          <w:szCs w:val="18"/>
        </w:rPr>
        <w:t>交通部98年10月7日交航字第0980049566號函頒</w:t>
      </w:r>
    </w:p>
    <w:p w:rsidR="00D317A7" w:rsidRDefault="00D317A7" w:rsidP="003A783B">
      <w:pPr>
        <w:pStyle w:val="Web"/>
        <w:spacing w:before="0" w:beforeAutospacing="0" w:line="180" w:lineRule="atLeast"/>
        <w:jc w:val="right"/>
        <w:rPr>
          <w:rFonts w:ascii="標楷體" w:eastAsia="標楷體" w:hAnsi="標楷體"/>
          <w:sz w:val="18"/>
          <w:szCs w:val="18"/>
        </w:rPr>
      </w:pPr>
      <w:r w:rsidRPr="000E49C5">
        <w:rPr>
          <w:rFonts w:ascii="標楷體" w:eastAsia="標楷體" w:hAnsi="標楷體" w:hint="eastAsia"/>
          <w:sz w:val="18"/>
          <w:szCs w:val="18"/>
        </w:rPr>
        <w:t>交通部106年4月19日交授航港字第1061610184號令修正</w:t>
      </w:r>
    </w:p>
    <w:p w:rsidR="003A783B" w:rsidRDefault="003A783B" w:rsidP="003A783B">
      <w:pPr>
        <w:pStyle w:val="Web"/>
        <w:spacing w:before="0" w:beforeAutospacing="0" w:line="180" w:lineRule="atLeast"/>
        <w:jc w:val="right"/>
        <w:rPr>
          <w:rFonts w:ascii="標楷體" w:eastAsia="標楷體" w:hAnsi="標楷體"/>
          <w:sz w:val="18"/>
          <w:szCs w:val="18"/>
        </w:rPr>
      </w:pPr>
      <w:r>
        <w:rPr>
          <w:rFonts w:ascii="標楷體" w:eastAsia="標楷體" w:hAnsi="標楷體" w:hint="eastAsia"/>
          <w:sz w:val="18"/>
          <w:szCs w:val="18"/>
        </w:rPr>
        <w:t>交通部109年</w:t>
      </w:r>
      <w:r w:rsidR="00E16BF0" w:rsidRPr="00E16BF0">
        <w:rPr>
          <w:rFonts w:ascii="標楷體" w:eastAsia="標楷體" w:hAnsi="標楷體" w:hint="eastAsia"/>
          <w:sz w:val="18"/>
          <w:szCs w:val="18"/>
        </w:rPr>
        <w:t>5月8日交授航港字第1091610471A號</w:t>
      </w:r>
      <w:r>
        <w:rPr>
          <w:rFonts w:ascii="標楷體" w:eastAsia="標楷體" w:hAnsi="標楷體" w:hint="eastAsia"/>
          <w:sz w:val="18"/>
          <w:szCs w:val="18"/>
        </w:rPr>
        <w:t>令修正</w:t>
      </w:r>
    </w:p>
    <w:p w:rsidR="00646F16" w:rsidRPr="00B224FA" w:rsidRDefault="003C4D8A" w:rsidP="003C4D8A">
      <w:pPr>
        <w:pStyle w:val="a3"/>
        <w:numPr>
          <w:ilvl w:val="0"/>
          <w:numId w:val="2"/>
        </w:numPr>
        <w:spacing w:line="460" w:lineRule="exact"/>
        <w:ind w:leftChars="0"/>
        <w:rPr>
          <w:rFonts w:ascii="標楷體" w:eastAsia="標楷體" w:hAnsi="標楷體"/>
          <w:sz w:val="28"/>
        </w:rPr>
      </w:pPr>
      <w:r w:rsidRPr="00B224FA">
        <w:rPr>
          <w:rFonts w:ascii="標楷體" w:eastAsia="標楷體" w:hAnsi="標楷體" w:hint="eastAsia"/>
          <w:sz w:val="28"/>
        </w:rPr>
        <w:t>交通部(以下簡稱本部)</w:t>
      </w:r>
      <w:r w:rsidR="00BA46F9" w:rsidRPr="00B224FA">
        <w:rPr>
          <w:rFonts w:ascii="標楷體" w:eastAsia="標楷體" w:hAnsi="標楷體" w:hint="eastAsia"/>
          <w:sz w:val="28"/>
        </w:rPr>
        <w:t>為提升我國際商港營運績效，吸引外國籍船舶運送業</w:t>
      </w:r>
      <w:r w:rsidR="00ED590F" w:rsidRPr="00B224FA">
        <w:rPr>
          <w:rFonts w:ascii="標楷體" w:eastAsia="標楷體" w:hAnsi="標楷體" w:hint="eastAsia"/>
          <w:sz w:val="28"/>
        </w:rPr>
        <w:t>及外籍船舶</w:t>
      </w:r>
      <w:r w:rsidR="00BA46F9" w:rsidRPr="00B224FA">
        <w:rPr>
          <w:rFonts w:ascii="標楷體" w:eastAsia="標楷體" w:hAnsi="標楷體" w:hint="eastAsia"/>
          <w:sz w:val="28"/>
        </w:rPr>
        <w:t>來臺營運並兼顧國籍船舶運送業權益，特訂定本原則。</w:t>
      </w:r>
    </w:p>
    <w:p w:rsidR="00BA46F9" w:rsidRPr="00B224FA" w:rsidRDefault="00BA46F9" w:rsidP="00BA46F9">
      <w:pPr>
        <w:pStyle w:val="a3"/>
        <w:numPr>
          <w:ilvl w:val="0"/>
          <w:numId w:val="2"/>
        </w:numPr>
        <w:spacing w:line="460" w:lineRule="exact"/>
        <w:ind w:leftChars="0" w:left="563" w:hangingChars="201" w:hanging="563"/>
        <w:rPr>
          <w:rFonts w:ascii="標楷體" w:eastAsia="標楷體" w:hAnsi="標楷體"/>
          <w:sz w:val="28"/>
        </w:rPr>
      </w:pPr>
      <w:r w:rsidRPr="00B224FA">
        <w:rPr>
          <w:rFonts w:ascii="標楷體" w:eastAsia="標楷體" w:hAnsi="標楷體" w:hint="eastAsia"/>
          <w:sz w:val="28"/>
        </w:rPr>
        <w:t>經營貨櫃運輸業務之國籍船舶運送業，其許可營運期間為二年。但前一年度經本部核定為績優船舶運送業者或有轉運實績者，得延長為三年。</w:t>
      </w:r>
    </w:p>
    <w:p w:rsidR="00ED590F" w:rsidRPr="00B224FA" w:rsidRDefault="007D0660" w:rsidP="00ED590F">
      <w:pPr>
        <w:pStyle w:val="a3"/>
        <w:spacing w:line="460" w:lineRule="exact"/>
        <w:ind w:leftChars="0" w:left="563"/>
        <w:rPr>
          <w:rFonts w:ascii="標楷體" w:eastAsia="標楷體" w:hAnsi="標楷體"/>
          <w:sz w:val="28"/>
        </w:rPr>
      </w:pPr>
      <w:r w:rsidRPr="00B224FA">
        <w:rPr>
          <w:rFonts w:ascii="標楷體" w:eastAsia="標楷體" w:hAnsi="標楷體" w:hint="eastAsia"/>
          <w:sz w:val="28"/>
        </w:rPr>
        <w:t>前項國籍船舶運送業</w:t>
      </w:r>
      <w:r w:rsidR="004518D5" w:rsidRPr="00B224FA">
        <w:rPr>
          <w:rFonts w:ascii="標楷體" w:eastAsia="標楷體" w:hAnsi="標楷體" w:hint="eastAsia"/>
          <w:sz w:val="28"/>
        </w:rPr>
        <w:t>所營</w:t>
      </w:r>
      <w:r w:rsidR="000F7750" w:rsidRPr="00B224FA">
        <w:rPr>
          <w:rFonts w:ascii="標楷體" w:eastAsia="標楷體" w:hAnsi="標楷體" w:hint="eastAsia"/>
          <w:sz w:val="28"/>
        </w:rPr>
        <w:t>外輪登記經營國內固定航線，許可營運期間為一年，並應</w:t>
      </w:r>
      <w:r w:rsidR="00ED590F" w:rsidRPr="00B224FA">
        <w:rPr>
          <w:rFonts w:ascii="標楷體" w:eastAsia="標楷體" w:hAnsi="標楷體" w:hint="eastAsia"/>
          <w:sz w:val="28"/>
        </w:rPr>
        <w:t>依</w:t>
      </w:r>
      <w:r w:rsidR="000F7750" w:rsidRPr="00B224FA">
        <w:rPr>
          <w:rFonts w:ascii="標楷體" w:eastAsia="標楷體" w:hAnsi="標楷體" w:hint="eastAsia"/>
          <w:sz w:val="28"/>
        </w:rPr>
        <w:t>下列</w:t>
      </w:r>
      <w:r w:rsidR="00ED590F" w:rsidRPr="00B224FA">
        <w:rPr>
          <w:rFonts w:ascii="標楷體" w:eastAsia="標楷體" w:hAnsi="標楷體" w:hint="eastAsia"/>
          <w:sz w:val="28"/>
        </w:rPr>
        <w:t>規定辦理:</w:t>
      </w:r>
    </w:p>
    <w:p w:rsidR="000F7750" w:rsidRPr="00B224FA" w:rsidRDefault="000F7750" w:rsidP="00ED590F">
      <w:pPr>
        <w:pStyle w:val="a3"/>
        <w:numPr>
          <w:ilvl w:val="0"/>
          <w:numId w:val="4"/>
        </w:numPr>
        <w:spacing w:line="460" w:lineRule="exact"/>
        <w:ind w:leftChars="0"/>
        <w:rPr>
          <w:rFonts w:ascii="標楷體" w:eastAsia="標楷體" w:hAnsi="標楷體"/>
          <w:sz w:val="28"/>
        </w:rPr>
      </w:pPr>
      <w:r w:rsidRPr="00B224FA">
        <w:rPr>
          <w:rFonts w:ascii="標楷體" w:eastAsia="標楷體" w:hAnsi="標楷體" w:hint="eastAsia"/>
          <w:sz w:val="28"/>
        </w:rPr>
        <w:t>依航業法有關固定航線之規定辦理。</w:t>
      </w:r>
    </w:p>
    <w:p w:rsidR="000F7750" w:rsidRPr="00B224FA" w:rsidRDefault="000F7750" w:rsidP="00ED590F">
      <w:pPr>
        <w:pStyle w:val="a3"/>
        <w:numPr>
          <w:ilvl w:val="0"/>
          <w:numId w:val="4"/>
        </w:numPr>
        <w:spacing w:line="460" w:lineRule="exact"/>
        <w:ind w:leftChars="0"/>
        <w:rPr>
          <w:rFonts w:ascii="標楷體" w:eastAsia="標楷體" w:hAnsi="標楷體"/>
          <w:sz w:val="28"/>
        </w:rPr>
      </w:pPr>
      <w:r w:rsidRPr="00B224FA">
        <w:rPr>
          <w:rFonts w:ascii="標楷體" w:eastAsia="標楷體" w:hAnsi="標楷體" w:hint="eastAsia"/>
          <w:sz w:val="28"/>
        </w:rPr>
        <w:t>檢附中華民國輪船商業同業公會全國聯合會及台灣省國內輪船商業同業公會聯合會</w:t>
      </w:r>
      <w:r w:rsidR="00ED590F" w:rsidRPr="00B224FA">
        <w:rPr>
          <w:rFonts w:ascii="標楷體" w:eastAsia="標楷體" w:hAnsi="標楷體" w:hint="eastAsia"/>
          <w:sz w:val="28"/>
        </w:rPr>
        <w:t>經函詢國籍船舶運送業者後之同意函。</w:t>
      </w:r>
    </w:p>
    <w:p w:rsidR="000F7750" w:rsidRPr="00B224FA" w:rsidRDefault="00763732" w:rsidP="00ED590F">
      <w:pPr>
        <w:pStyle w:val="a3"/>
        <w:numPr>
          <w:ilvl w:val="0"/>
          <w:numId w:val="4"/>
        </w:numPr>
        <w:spacing w:line="460" w:lineRule="exact"/>
        <w:ind w:leftChars="0"/>
        <w:rPr>
          <w:rFonts w:ascii="標楷體" w:eastAsia="標楷體" w:hAnsi="標楷體"/>
          <w:sz w:val="28"/>
        </w:rPr>
      </w:pPr>
      <w:r w:rsidRPr="00B224FA">
        <w:rPr>
          <w:rFonts w:ascii="標楷體" w:eastAsia="標楷體" w:hAnsi="標楷體" w:hint="eastAsia"/>
          <w:sz w:val="28"/>
        </w:rPr>
        <w:t>得</w:t>
      </w:r>
      <w:r w:rsidR="000F7750" w:rsidRPr="00B224FA">
        <w:rPr>
          <w:rFonts w:ascii="標楷體" w:eastAsia="標楷體" w:hAnsi="標楷體" w:hint="eastAsia"/>
          <w:sz w:val="28"/>
        </w:rPr>
        <w:t>於許可營運期間期滿日前三十日內申請展延</w:t>
      </w:r>
      <w:r w:rsidR="00ED590F" w:rsidRPr="00B224FA">
        <w:rPr>
          <w:rFonts w:ascii="標楷體" w:eastAsia="標楷體" w:hAnsi="標楷體" w:hint="eastAsia"/>
          <w:sz w:val="28"/>
        </w:rPr>
        <w:t>，展延期間以</w:t>
      </w:r>
      <w:r w:rsidR="000F7750" w:rsidRPr="00B224FA">
        <w:rPr>
          <w:rFonts w:ascii="標楷體" w:eastAsia="標楷體" w:hAnsi="標楷體" w:hint="eastAsia"/>
          <w:sz w:val="28"/>
        </w:rPr>
        <w:t>一年</w:t>
      </w:r>
      <w:r w:rsidR="00ED590F" w:rsidRPr="00B224FA">
        <w:rPr>
          <w:rFonts w:ascii="標楷體" w:eastAsia="標楷體" w:hAnsi="標楷體" w:hint="eastAsia"/>
          <w:sz w:val="28"/>
        </w:rPr>
        <w:t>為限</w:t>
      </w:r>
      <w:r w:rsidR="000F7750" w:rsidRPr="00B224FA">
        <w:rPr>
          <w:rFonts w:ascii="標楷體" w:eastAsia="標楷體" w:hAnsi="標楷體" w:hint="eastAsia"/>
          <w:sz w:val="28"/>
        </w:rPr>
        <w:t>，逾期未申請者，依</w:t>
      </w:r>
      <w:r w:rsidR="003C4D8A" w:rsidRPr="00B224FA">
        <w:rPr>
          <w:rFonts w:ascii="標楷體" w:eastAsia="標楷體" w:hAnsi="標楷體" w:hint="eastAsia"/>
          <w:sz w:val="28"/>
        </w:rPr>
        <w:t>航業法</w:t>
      </w:r>
      <w:r w:rsidR="00ED590F" w:rsidRPr="00B224FA">
        <w:rPr>
          <w:rFonts w:ascii="標楷體" w:eastAsia="標楷體" w:hAnsi="標楷體" w:hint="eastAsia"/>
          <w:sz w:val="28"/>
        </w:rPr>
        <w:t>規定</w:t>
      </w:r>
      <w:r w:rsidR="003C4D8A" w:rsidRPr="00B224FA">
        <w:rPr>
          <w:rFonts w:ascii="標楷體" w:eastAsia="標楷體" w:hAnsi="標楷體" w:hint="eastAsia"/>
          <w:sz w:val="28"/>
        </w:rPr>
        <w:t>廢止</w:t>
      </w:r>
      <w:r w:rsidR="00ED590F" w:rsidRPr="00B224FA">
        <w:rPr>
          <w:rFonts w:ascii="標楷體" w:eastAsia="標楷體" w:hAnsi="標楷體" w:hint="eastAsia"/>
          <w:sz w:val="28"/>
        </w:rPr>
        <w:t>其固定航線</w:t>
      </w:r>
      <w:r w:rsidR="003C4D8A" w:rsidRPr="00B224FA">
        <w:rPr>
          <w:rFonts w:ascii="標楷體" w:eastAsia="標楷體" w:hAnsi="標楷體" w:hint="eastAsia"/>
          <w:sz w:val="28"/>
        </w:rPr>
        <w:t>許可</w:t>
      </w:r>
      <w:r w:rsidR="00ED590F" w:rsidRPr="00B224FA">
        <w:rPr>
          <w:rFonts w:ascii="標楷體" w:eastAsia="標楷體" w:hAnsi="標楷體" w:hint="eastAsia"/>
          <w:sz w:val="28"/>
        </w:rPr>
        <w:t>。</w:t>
      </w:r>
    </w:p>
    <w:p w:rsidR="00BA46F9" w:rsidRPr="00BA46F9" w:rsidRDefault="00BA46F9" w:rsidP="00BA46F9">
      <w:pPr>
        <w:pStyle w:val="a3"/>
        <w:numPr>
          <w:ilvl w:val="0"/>
          <w:numId w:val="2"/>
        </w:numPr>
        <w:spacing w:line="460" w:lineRule="exact"/>
        <w:ind w:leftChars="0" w:left="563" w:hangingChars="201" w:hanging="563"/>
        <w:rPr>
          <w:rFonts w:ascii="標楷體" w:eastAsia="標楷體" w:hAnsi="標楷體"/>
          <w:sz w:val="28"/>
        </w:rPr>
      </w:pPr>
      <w:r w:rsidRPr="00BA46F9">
        <w:rPr>
          <w:rFonts w:ascii="標楷體" w:eastAsia="標楷體" w:hAnsi="標楷體" w:hint="eastAsia"/>
          <w:sz w:val="28"/>
        </w:rPr>
        <w:t>經營貨櫃運輸業務之國籍船舶運送業所屬海外船舶運送業公司，其許可營運期間為一年。但許可期間之貨櫃裝卸量未達前一年度貨櫃裝卸量百分之三十者，應停止受理於期滿日起一年內之重新申辦。</w:t>
      </w:r>
    </w:p>
    <w:p w:rsidR="00BA46F9" w:rsidRPr="00BA46F9" w:rsidRDefault="00BA46F9" w:rsidP="00BA46F9">
      <w:pPr>
        <w:pStyle w:val="a3"/>
        <w:numPr>
          <w:ilvl w:val="0"/>
          <w:numId w:val="2"/>
        </w:numPr>
        <w:spacing w:line="460" w:lineRule="exact"/>
        <w:ind w:leftChars="0" w:left="563" w:hangingChars="201" w:hanging="563"/>
        <w:rPr>
          <w:rFonts w:ascii="標楷體" w:eastAsia="標楷體" w:hAnsi="標楷體"/>
          <w:sz w:val="28"/>
        </w:rPr>
      </w:pPr>
      <w:r w:rsidRPr="00BA46F9">
        <w:rPr>
          <w:rFonts w:ascii="標楷體" w:eastAsia="標楷體" w:hAnsi="標楷體" w:hint="eastAsia"/>
          <w:sz w:val="28"/>
        </w:rPr>
        <w:t>經營貨櫃運輸業務之外國籍船舶運送業：</w:t>
      </w:r>
    </w:p>
    <w:p w:rsidR="00BA46F9" w:rsidRPr="00BA46F9" w:rsidRDefault="00BA46F9" w:rsidP="00BA46F9">
      <w:pPr>
        <w:pStyle w:val="a3"/>
        <w:numPr>
          <w:ilvl w:val="0"/>
          <w:numId w:val="3"/>
        </w:numPr>
        <w:spacing w:line="460" w:lineRule="exact"/>
        <w:ind w:leftChars="0" w:left="1134" w:hanging="652"/>
        <w:rPr>
          <w:rFonts w:ascii="標楷體" w:eastAsia="標楷體" w:hAnsi="標楷體"/>
          <w:sz w:val="28"/>
        </w:rPr>
      </w:pPr>
      <w:r w:rsidRPr="00BA46F9">
        <w:rPr>
          <w:rFonts w:ascii="標楷體" w:eastAsia="標楷體" w:hAnsi="標楷體" w:hint="eastAsia"/>
          <w:sz w:val="28"/>
        </w:rPr>
        <w:t>許可營運期間為一年。但許可期間之貨櫃裝卸量未達前一年度貨櫃裝卸量百分之五十者，應停止受理於期滿日起二年內之重新申辦。</w:t>
      </w:r>
    </w:p>
    <w:p w:rsidR="00BA46F9" w:rsidRPr="00B224FA" w:rsidRDefault="00BA46F9" w:rsidP="00BA46F9">
      <w:pPr>
        <w:pStyle w:val="a3"/>
        <w:numPr>
          <w:ilvl w:val="0"/>
          <w:numId w:val="3"/>
        </w:numPr>
        <w:spacing w:line="460" w:lineRule="exact"/>
        <w:ind w:leftChars="0" w:left="1134" w:hanging="652"/>
        <w:rPr>
          <w:rFonts w:ascii="標楷體" w:eastAsia="標楷體" w:hAnsi="標楷體"/>
          <w:sz w:val="28"/>
        </w:rPr>
      </w:pPr>
      <w:r w:rsidRPr="00BA46F9">
        <w:rPr>
          <w:rFonts w:ascii="標楷體" w:eastAsia="標楷體" w:hAnsi="標楷體" w:hint="eastAsia"/>
          <w:sz w:val="28"/>
        </w:rPr>
        <w:t>租用我國國際商港碼頭，對港口營運績效有實質助益者，其許可營運期</w:t>
      </w:r>
      <w:r w:rsidRPr="00B224FA">
        <w:rPr>
          <w:rFonts w:ascii="標楷體" w:eastAsia="標楷體" w:hAnsi="標楷體" w:hint="eastAsia"/>
          <w:sz w:val="28"/>
        </w:rPr>
        <w:t>間得延長為二年。</w:t>
      </w:r>
    </w:p>
    <w:p w:rsidR="00BA46F9" w:rsidRPr="00BA46F9" w:rsidRDefault="00BA46F9" w:rsidP="00E16BF0">
      <w:pPr>
        <w:pStyle w:val="a3"/>
        <w:spacing w:line="460" w:lineRule="exact"/>
        <w:ind w:leftChars="0" w:left="563"/>
        <w:rPr>
          <w:rFonts w:ascii="標楷體" w:eastAsia="標楷體" w:hAnsi="標楷體" w:hint="eastAsia"/>
          <w:sz w:val="28"/>
        </w:rPr>
      </w:pPr>
      <w:bookmarkStart w:id="0" w:name="_GoBack"/>
      <w:bookmarkEnd w:id="0"/>
    </w:p>
    <w:sectPr w:rsidR="00BA46F9" w:rsidRPr="00BA46F9" w:rsidSect="00BA46F9">
      <w:pgSz w:w="11906" w:h="16838" w:code="9"/>
      <w:pgMar w:top="1418" w:right="1418" w:bottom="1418" w:left="1701" w:header="851"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8E7" w:rsidRDefault="002408E7" w:rsidP="007D0660">
      <w:r>
        <w:separator/>
      </w:r>
    </w:p>
  </w:endnote>
  <w:endnote w:type="continuationSeparator" w:id="0">
    <w:p w:rsidR="002408E7" w:rsidRDefault="002408E7" w:rsidP="007D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8E7" w:rsidRDefault="002408E7" w:rsidP="007D0660">
      <w:r>
        <w:separator/>
      </w:r>
    </w:p>
  </w:footnote>
  <w:footnote w:type="continuationSeparator" w:id="0">
    <w:p w:rsidR="002408E7" w:rsidRDefault="002408E7" w:rsidP="007D0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457"/>
    <w:multiLevelType w:val="hybridMultilevel"/>
    <w:tmpl w:val="8DDCCE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4E2E90"/>
    <w:multiLevelType w:val="hybridMultilevel"/>
    <w:tmpl w:val="31F4B5BC"/>
    <w:lvl w:ilvl="0" w:tplc="8AFA06B4">
      <w:start w:val="1"/>
      <w:numFmt w:val="taiwaneseCountingThousand"/>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BF3CA3"/>
    <w:multiLevelType w:val="hybridMultilevel"/>
    <w:tmpl w:val="E44845B6"/>
    <w:lvl w:ilvl="0" w:tplc="0946120E">
      <w:start w:val="1"/>
      <w:numFmt w:val="taiwaneseCountingThousand"/>
      <w:lvlText w:val="(%1)"/>
      <w:lvlJc w:val="left"/>
      <w:pPr>
        <w:ind w:left="1043" w:hanging="480"/>
      </w:pPr>
      <w:rPr>
        <w:rFonts w:hint="eastAsia"/>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3" w15:restartNumberingAfterBreak="0">
    <w:nsid w:val="51D75E6A"/>
    <w:multiLevelType w:val="hybridMultilevel"/>
    <w:tmpl w:val="AAB6830C"/>
    <w:lvl w:ilvl="0" w:tplc="41DCFB1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F9"/>
    <w:rsid w:val="000E06F7"/>
    <w:rsid w:val="000E49C5"/>
    <w:rsid w:val="000F7750"/>
    <w:rsid w:val="0022671A"/>
    <w:rsid w:val="002408E7"/>
    <w:rsid w:val="003A783B"/>
    <w:rsid w:val="003C4D8A"/>
    <w:rsid w:val="004518D5"/>
    <w:rsid w:val="004774BF"/>
    <w:rsid w:val="00646F16"/>
    <w:rsid w:val="006A3DB5"/>
    <w:rsid w:val="007359DF"/>
    <w:rsid w:val="00763732"/>
    <w:rsid w:val="00782672"/>
    <w:rsid w:val="007D0660"/>
    <w:rsid w:val="00886E35"/>
    <w:rsid w:val="009F1A3C"/>
    <w:rsid w:val="009F537E"/>
    <w:rsid w:val="00AD2E87"/>
    <w:rsid w:val="00AD3BDB"/>
    <w:rsid w:val="00B224FA"/>
    <w:rsid w:val="00BA46F9"/>
    <w:rsid w:val="00C6287A"/>
    <w:rsid w:val="00CC1B49"/>
    <w:rsid w:val="00CD4D26"/>
    <w:rsid w:val="00D317A7"/>
    <w:rsid w:val="00E05989"/>
    <w:rsid w:val="00E16BF0"/>
    <w:rsid w:val="00ED590F"/>
    <w:rsid w:val="00F83A1F"/>
    <w:rsid w:val="00F966B4"/>
    <w:rsid w:val="00FE66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2A25E"/>
  <w15:docId w15:val="{A4241ACE-6BC5-4397-BC7A-CE043ACC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46F9"/>
    <w:pPr>
      <w:widowControl/>
      <w:spacing w:before="100" w:beforeAutospacing="1"/>
    </w:pPr>
    <w:rPr>
      <w:rFonts w:ascii="新細明體" w:eastAsia="新細明體" w:hAnsi="新細明體" w:cs="新細明體"/>
      <w:kern w:val="0"/>
      <w:szCs w:val="24"/>
    </w:rPr>
  </w:style>
  <w:style w:type="paragraph" w:styleId="a3">
    <w:name w:val="List Paragraph"/>
    <w:basedOn w:val="a"/>
    <w:uiPriority w:val="34"/>
    <w:qFormat/>
    <w:rsid w:val="00BA46F9"/>
    <w:pPr>
      <w:ind w:leftChars="200" w:left="480"/>
    </w:pPr>
  </w:style>
  <w:style w:type="paragraph" w:styleId="a4">
    <w:name w:val="header"/>
    <w:basedOn w:val="a"/>
    <w:link w:val="a5"/>
    <w:uiPriority w:val="99"/>
    <w:unhideWhenUsed/>
    <w:rsid w:val="007D0660"/>
    <w:pPr>
      <w:tabs>
        <w:tab w:val="center" w:pos="4153"/>
        <w:tab w:val="right" w:pos="8306"/>
      </w:tabs>
      <w:snapToGrid w:val="0"/>
    </w:pPr>
    <w:rPr>
      <w:sz w:val="20"/>
      <w:szCs w:val="20"/>
    </w:rPr>
  </w:style>
  <w:style w:type="character" w:customStyle="1" w:styleId="a5">
    <w:name w:val="頁首 字元"/>
    <w:basedOn w:val="a0"/>
    <w:link w:val="a4"/>
    <w:uiPriority w:val="99"/>
    <w:rsid w:val="007D0660"/>
    <w:rPr>
      <w:sz w:val="20"/>
      <w:szCs w:val="20"/>
    </w:rPr>
  </w:style>
  <w:style w:type="paragraph" w:styleId="a6">
    <w:name w:val="footer"/>
    <w:basedOn w:val="a"/>
    <w:link w:val="a7"/>
    <w:uiPriority w:val="99"/>
    <w:unhideWhenUsed/>
    <w:rsid w:val="007D0660"/>
    <w:pPr>
      <w:tabs>
        <w:tab w:val="center" w:pos="4153"/>
        <w:tab w:val="right" w:pos="8306"/>
      </w:tabs>
      <w:snapToGrid w:val="0"/>
    </w:pPr>
    <w:rPr>
      <w:sz w:val="20"/>
      <w:szCs w:val="20"/>
    </w:rPr>
  </w:style>
  <w:style w:type="character" w:customStyle="1" w:styleId="a7">
    <w:name w:val="頁尾 字元"/>
    <w:basedOn w:val="a0"/>
    <w:link w:val="a6"/>
    <w:uiPriority w:val="99"/>
    <w:rsid w:val="007D06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謝宗翰</dc:creator>
  <cp:lastModifiedBy>謝宗翰</cp:lastModifiedBy>
  <cp:revision>4</cp:revision>
  <cp:lastPrinted>2020-04-27T03:17:00Z</cp:lastPrinted>
  <dcterms:created xsi:type="dcterms:W3CDTF">2020-04-27T03:46:00Z</dcterms:created>
  <dcterms:modified xsi:type="dcterms:W3CDTF">2020-05-06T01:42:00Z</dcterms:modified>
</cp:coreProperties>
</file>