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6487E" w14:textId="6D615C52" w:rsidR="000A78E7" w:rsidRPr="002D4B8D" w:rsidRDefault="000A78E7" w:rsidP="000A78E7">
      <w:pPr>
        <w:spacing w:line="0" w:lineRule="atLeast"/>
        <w:ind w:left="426" w:hanging="482"/>
        <w:jc w:val="both"/>
        <w:rPr>
          <w:rFonts w:cs="Times New Roman"/>
          <w:b/>
        </w:rPr>
      </w:pPr>
      <w:r w:rsidRPr="002D4B8D">
        <w:rPr>
          <w:rFonts w:cs="Times New Roman"/>
          <w:b/>
        </w:rPr>
        <w:t>工作項目</w:t>
      </w:r>
      <w:r w:rsidRPr="002D4B8D">
        <w:rPr>
          <w:rFonts w:cs="Times New Roman"/>
          <w:b/>
        </w:rPr>
        <w:t>A</w:t>
      </w:r>
      <w:r w:rsidRPr="002D4B8D">
        <w:rPr>
          <w:rFonts w:cs="Times New Roman"/>
          <w:b/>
        </w:rPr>
        <w:t>：國際海事最新議題</w:t>
      </w:r>
      <w:r w:rsidRPr="002D4B8D">
        <w:rPr>
          <w:rFonts w:cs="Times New Roman"/>
          <w:b/>
        </w:rPr>
        <w:t xml:space="preserve">  113</w:t>
      </w:r>
      <w:r w:rsidRPr="002D4B8D">
        <w:rPr>
          <w:rFonts w:cs="Times New Roman"/>
          <w:b/>
        </w:rPr>
        <w:t>年</w:t>
      </w:r>
      <w:r w:rsidR="000D16EC">
        <w:rPr>
          <w:rFonts w:cs="Times New Roman" w:hint="eastAsia"/>
          <w:b/>
        </w:rPr>
        <w:t>7</w:t>
      </w:r>
      <w:r w:rsidRPr="002D4B8D">
        <w:rPr>
          <w:rFonts w:cs="Times New Roman"/>
          <w:b/>
        </w:rPr>
        <w:t>月補充資料</w:t>
      </w:r>
    </w:p>
    <w:p w14:paraId="3BB7C6D7" w14:textId="77777777" w:rsidR="00B857BB" w:rsidRPr="002D4B8D" w:rsidRDefault="00B857BB" w:rsidP="000A78E7">
      <w:pPr>
        <w:spacing w:beforeLines="50" w:before="180" w:afterLines="50" w:after="180"/>
        <w:ind w:left="482" w:hanging="482"/>
        <w:jc w:val="center"/>
        <w:rPr>
          <w:rFonts w:cs="Times New Roman"/>
          <w:b/>
          <w:sz w:val="32"/>
          <w:szCs w:val="32"/>
        </w:rPr>
      </w:pPr>
      <w:r w:rsidRPr="002D4B8D">
        <w:rPr>
          <w:rFonts w:cs="Times New Roman"/>
          <w:b/>
          <w:sz w:val="32"/>
          <w:szCs w:val="32"/>
        </w:rPr>
        <w:t>國際海事組織</w:t>
      </w:r>
      <w:r w:rsidRPr="002D4B8D">
        <w:rPr>
          <w:rFonts w:cs="Times New Roman"/>
          <w:b/>
          <w:sz w:val="32"/>
          <w:szCs w:val="32"/>
        </w:rPr>
        <w:t>(International Maritime Organization, IMO)</w:t>
      </w:r>
    </w:p>
    <w:p w14:paraId="1454015F" w14:textId="5ED113E9" w:rsidR="00B857BB" w:rsidRPr="002D4B8D" w:rsidRDefault="000D16EC" w:rsidP="000A78E7">
      <w:pPr>
        <w:spacing w:beforeLines="50" w:before="180" w:afterLines="50" w:after="180"/>
        <w:ind w:left="482" w:hanging="482"/>
        <w:jc w:val="center"/>
        <w:rPr>
          <w:rFonts w:cs="Times New Roman"/>
          <w:b/>
          <w:sz w:val="32"/>
          <w:szCs w:val="32"/>
        </w:rPr>
      </w:pPr>
      <w:r w:rsidRPr="000D16EC">
        <w:rPr>
          <w:rFonts w:cs="Times New Roman" w:hint="eastAsia"/>
          <w:b/>
          <w:sz w:val="32"/>
          <w:szCs w:val="32"/>
        </w:rPr>
        <w:t>技術合作委員會第</w:t>
      </w:r>
      <w:r w:rsidRPr="000D16EC">
        <w:rPr>
          <w:rFonts w:cs="Times New Roman" w:hint="eastAsia"/>
          <w:b/>
          <w:sz w:val="32"/>
          <w:szCs w:val="32"/>
        </w:rPr>
        <w:t>74</w:t>
      </w:r>
      <w:r w:rsidRPr="000D16EC">
        <w:rPr>
          <w:rFonts w:cs="Times New Roman" w:hint="eastAsia"/>
          <w:b/>
          <w:sz w:val="32"/>
          <w:szCs w:val="32"/>
        </w:rPr>
        <w:t>屆會議</w:t>
      </w:r>
      <w:r w:rsidR="00B857BB" w:rsidRPr="002D4B8D">
        <w:rPr>
          <w:rFonts w:cs="Times New Roman"/>
          <w:b/>
          <w:sz w:val="32"/>
          <w:szCs w:val="32"/>
        </w:rPr>
        <w:t>重點摘要</w:t>
      </w:r>
    </w:p>
    <w:p w14:paraId="75C55620" w14:textId="437F2892" w:rsidR="00032FBD" w:rsidRPr="002D4B8D" w:rsidRDefault="00B857BB" w:rsidP="009B7ED7">
      <w:pPr>
        <w:pStyle w:val="a3"/>
        <w:numPr>
          <w:ilvl w:val="0"/>
          <w:numId w:val="1"/>
        </w:numPr>
        <w:spacing w:line="240" w:lineRule="atLeast"/>
        <w:ind w:leftChars="-50" w:left="441" w:hangingChars="200" w:hanging="561"/>
        <w:rPr>
          <w:rFonts w:cs="Times New Roman"/>
          <w:b/>
        </w:rPr>
      </w:pPr>
      <w:r w:rsidRPr="002D4B8D">
        <w:rPr>
          <w:rFonts w:cs="Times New Roman"/>
          <w:b/>
          <w:sz w:val="28"/>
          <w:szCs w:val="28"/>
        </w:rPr>
        <w:t>會議名稱：</w:t>
      </w:r>
      <w:r w:rsidR="001026A9" w:rsidRPr="001026A9">
        <w:rPr>
          <w:rFonts w:cs="Times New Roman" w:hint="eastAsia"/>
          <w:b/>
          <w:sz w:val="28"/>
          <w:szCs w:val="28"/>
        </w:rPr>
        <w:t>技術合作委員會第</w:t>
      </w:r>
      <w:r w:rsidR="001026A9" w:rsidRPr="001026A9">
        <w:rPr>
          <w:rFonts w:cs="Times New Roman" w:hint="eastAsia"/>
          <w:b/>
          <w:sz w:val="28"/>
          <w:szCs w:val="28"/>
        </w:rPr>
        <w:t>74</w:t>
      </w:r>
      <w:r w:rsidR="001026A9" w:rsidRPr="001026A9">
        <w:rPr>
          <w:rFonts w:cs="Times New Roman" w:hint="eastAsia"/>
          <w:b/>
          <w:sz w:val="28"/>
          <w:szCs w:val="28"/>
        </w:rPr>
        <w:t>屆會議</w:t>
      </w:r>
      <w:r w:rsidR="009B7ED7">
        <w:rPr>
          <w:rFonts w:cs="Times New Roman" w:hint="eastAsia"/>
          <w:b/>
          <w:sz w:val="28"/>
          <w:szCs w:val="28"/>
        </w:rPr>
        <w:t xml:space="preserve"> </w:t>
      </w:r>
      <w:r w:rsidR="009B7ED7">
        <w:rPr>
          <w:rFonts w:cs="Times New Roman"/>
          <w:b/>
          <w:sz w:val="28"/>
          <w:szCs w:val="28"/>
        </w:rPr>
        <w:br/>
      </w:r>
      <w:r w:rsidRPr="009B7ED7">
        <w:rPr>
          <w:rFonts w:cs="Times New Roman"/>
          <w:b/>
          <w:szCs w:val="24"/>
        </w:rPr>
        <w:t>(</w:t>
      </w:r>
      <w:r w:rsidR="006074C2" w:rsidRPr="006074C2">
        <w:rPr>
          <w:rFonts w:cs="Times New Roman"/>
          <w:b/>
          <w:szCs w:val="24"/>
        </w:rPr>
        <w:t>Technical Cooperation Committee 74th session, TC 74</w:t>
      </w:r>
      <w:r w:rsidRPr="009B7ED7">
        <w:rPr>
          <w:rFonts w:cs="Times New Roman"/>
          <w:b/>
          <w:szCs w:val="24"/>
        </w:rPr>
        <w:t>)</w:t>
      </w:r>
    </w:p>
    <w:p w14:paraId="2E8607CE" w14:textId="0F02504B" w:rsidR="00B857BB" w:rsidRPr="002D4B8D" w:rsidRDefault="00B857BB" w:rsidP="008B2C0E">
      <w:pPr>
        <w:pStyle w:val="a3"/>
        <w:spacing w:beforeLines="50" w:before="180" w:afterLines="50" w:after="180"/>
        <w:ind w:leftChars="0" w:left="482"/>
        <w:rPr>
          <w:rFonts w:cs="Times New Roman"/>
        </w:rPr>
      </w:pPr>
      <w:r w:rsidRPr="002D4B8D">
        <w:rPr>
          <w:rFonts w:cs="Times New Roman"/>
        </w:rPr>
        <w:t>舉行日期：</w:t>
      </w:r>
      <w:r w:rsidR="00736138" w:rsidRPr="00736138">
        <w:rPr>
          <w:rFonts w:cs="Times New Roman" w:hint="eastAsia"/>
        </w:rPr>
        <w:t>2024</w:t>
      </w:r>
      <w:r w:rsidR="00736138" w:rsidRPr="00736138">
        <w:rPr>
          <w:rFonts w:cs="Times New Roman" w:hint="eastAsia"/>
        </w:rPr>
        <w:t>年</w:t>
      </w:r>
      <w:r w:rsidR="00736138" w:rsidRPr="00736138">
        <w:rPr>
          <w:rFonts w:cs="Times New Roman" w:hint="eastAsia"/>
        </w:rPr>
        <w:t>6</w:t>
      </w:r>
      <w:r w:rsidR="00736138" w:rsidRPr="00736138">
        <w:rPr>
          <w:rFonts w:cs="Times New Roman" w:hint="eastAsia"/>
        </w:rPr>
        <w:t>月</w:t>
      </w:r>
      <w:r w:rsidR="00736138" w:rsidRPr="00736138">
        <w:rPr>
          <w:rFonts w:cs="Times New Roman" w:hint="eastAsia"/>
        </w:rPr>
        <w:t>24</w:t>
      </w:r>
      <w:r w:rsidR="00736138" w:rsidRPr="00736138">
        <w:rPr>
          <w:rFonts w:cs="Times New Roman" w:hint="eastAsia"/>
        </w:rPr>
        <w:t>日至</w:t>
      </w:r>
      <w:r w:rsidR="00736138" w:rsidRPr="00736138">
        <w:rPr>
          <w:rFonts w:cs="Times New Roman" w:hint="eastAsia"/>
        </w:rPr>
        <w:t>28</w:t>
      </w:r>
      <w:r w:rsidR="00736138" w:rsidRPr="00736138">
        <w:rPr>
          <w:rFonts w:cs="Times New Roman" w:hint="eastAsia"/>
        </w:rPr>
        <w:t>日</w:t>
      </w:r>
      <w:r w:rsidRPr="002D4B8D">
        <w:rPr>
          <w:rFonts w:cs="Times New Roman"/>
        </w:rPr>
        <w:t>。</w:t>
      </w:r>
    </w:p>
    <w:p w14:paraId="66E63F2D" w14:textId="77777777" w:rsidR="00B857BB" w:rsidRPr="009B7ED7" w:rsidRDefault="00B857BB" w:rsidP="009B7ED7">
      <w:pPr>
        <w:pStyle w:val="a3"/>
        <w:numPr>
          <w:ilvl w:val="0"/>
          <w:numId w:val="1"/>
        </w:numPr>
        <w:spacing w:line="240" w:lineRule="atLeast"/>
        <w:ind w:leftChars="-50" w:left="441" w:hangingChars="200" w:hanging="561"/>
        <w:rPr>
          <w:rFonts w:cs="Times New Roman"/>
          <w:b/>
          <w:sz w:val="28"/>
          <w:szCs w:val="28"/>
        </w:rPr>
      </w:pPr>
      <w:r w:rsidRPr="005A2859">
        <w:rPr>
          <w:rFonts w:cs="Times New Roman"/>
          <w:b/>
          <w:sz w:val="28"/>
          <w:szCs w:val="28"/>
        </w:rPr>
        <w:t>會議簡介</w:t>
      </w:r>
      <w:r w:rsidRPr="009B7ED7">
        <w:rPr>
          <w:sz w:val="28"/>
          <w:szCs w:val="28"/>
          <w:vertAlign w:val="superscript"/>
        </w:rPr>
        <w:footnoteReference w:id="1"/>
      </w:r>
    </w:p>
    <w:p w14:paraId="2A129D48" w14:textId="06551BD2" w:rsidR="00034F84" w:rsidRPr="002D4B8D" w:rsidRDefault="00736138" w:rsidP="009B7ED7">
      <w:pPr>
        <w:pStyle w:val="a3"/>
        <w:spacing w:beforeLines="50" w:before="180" w:afterLines="50" w:after="180"/>
        <w:ind w:leftChars="159" w:left="382" w:firstLine="482"/>
        <w:jc w:val="both"/>
        <w:rPr>
          <w:rFonts w:cs="Times New Roman"/>
        </w:rPr>
      </w:pPr>
      <w:bookmarkStart w:id="0" w:name="OLE_LINK3"/>
      <w:bookmarkStart w:id="1" w:name="OLE_LINK4"/>
      <w:r w:rsidRPr="00736138">
        <w:rPr>
          <w:rFonts w:cs="Times New Roman" w:hint="eastAsia"/>
        </w:rPr>
        <w:t>技術合作委員會</w:t>
      </w:r>
      <w:r w:rsidRPr="00736138">
        <w:rPr>
          <w:rFonts w:cs="Times New Roman" w:hint="eastAsia"/>
        </w:rPr>
        <w:t>(Technical Cooperation Committee, TC)</w:t>
      </w:r>
      <w:r w:rsidRPr="00736138">
        <w:rPr>
          <w:rFonts w:cs="Times New Roman" w:hint="eastAsia"/>
        </w:rPr>
        <w:t>負責監督國際海事組織</w:t>
      </w:r>
      <w:r w:rsidRPr="00736138">
        <w:rPr>
          <w:rFonts w:cs="Times New Roman" w:hint="eastAsia"/>
        </w:rPr>
        <w:t>(IMO)</w:t>
      </w:r>
      <w:r w:rsidRPr="00736138">
        <w:rPr>
          <w:rFonts w:cs="Times New Roman" w:hint="eastAsia"/>
        </w:rPr>
        <w:t>能力建設計畫和技術合作專案的實施。國際海事組織作為執行機構或合作機構，確保其支持聯合國永續發展目標</w:t>
      </w:r>
      <w:r w:rsidRPr="00736138">
        <w:rPr>
          <w:rFonts w:cs="Times New Roman" w:hint="eastAsia"/>
        </w:rPr>
        <w:t>(United Nations Sustainable Development Goals)</w:t>
      </w:r>
      <w:r w:rsidRPr="00736138">
        <w:rPr>
          <w:rFonts w:cs="Times New Roman" w:hint="eastAsia"/>
        </w:rPr>
        <w:t>和</w:t>
      </w:r>
      <w:r w:rsidRPr="00736138">
        <w:rPr>
          <w:rFonts w:cs="Times New Roman" w:hint="eastAsia"/>
        </w:rPr>
        <w:t>2030</w:t>
      </w:r>
      <w:r w:rsidRPr="00736138">
        <w:rPr>
          <w:rFonts w:cs="Times New Roman" w:hint="eastAsia"/>
        </w:rPr>
        <w:t>年永續發展議程</w:t>
      </w:r>
      <w:r w:rsidRPr="00736138">
        <w:rPr>
          <w:rFonts w:cs="Times New Roman" w:hint="eastAsia"/>
        </w:rPr>
        <w:t>(2030 Agenda for Sustainable Development)</w:t>
      </w:r>
      <w:r w:rsidR="00034F84" w:rsidRPr="002D4B8D">
        <w:rPr>
          <w:rFonts w:cs="Times New Roman"/>
        </w:rPr>
        <w:t>。</w:t>
      </w:r>
    </w:p>
    <w:p w14:paraId="27289745" w14:textId="77777777" w:rsidR="00B857BB" w:rsidRPr="008B3E7D" w:rsidRDefault="00B857BB" w:rsidP="009B7ED7">
      <w:pPr>
        <w:pStyle w:val="a3"/>
        <w:numPr>
          <w:ilvl w:val="0"/>
          <w:numId w:val="1"/>
        </w:numPr>
        <w:ind w:leftChars="0" w:left="566" w:hangingChars="202" w:hanging="566"/>
        <w:jc w:val="both"/>
        <w:rPr>
          <w:rFonts w:cs="Times New Roman"/>
          <w:b/>
          <w:sz w:val="28"/>
          <w:szCs w:val="28"/>
        </w:rPr>
      </w:pPr>
      <w:r w:rsidRPr="008B3E7D">
        <w:rPr>
          <w:rFonts w:cs="Times New Roman"/>
          <w:b/>
          <w:sz w:val="28"/>
          <w:szCs w:val="28"/>
        </w:rPr>
        <w:t>會議重點</w:t>
      </w:r>
    </w:p>
    <w:p w14:paraId="0CA3742F" w14:textId="77777777" w:rsidR="00A1328E" w:rsidRPr="00A1328E" w:rsidRDefault="00A1328E" w:rsidP="00A1328E">
      <w:pPr>
        <w:pStyle w:val="a3"/>
        <w:numPr>
          <w:ilvl w:val="1"/>
          <w:numId w:val="1"/>
        </w:numPr>
        <w:spacing w:beforeLines="50" w:before="180" w:afterLines="50" w:after="180"/>
        <w:ind w:leftChars="0"/>
        <w:jc w:val="both"/>
        <w:rPr>
          <w:rFonts w:cs="Times New Roman" w:hint="eastAsia"/>
        </w:rPr>
      </w:pPr>
      <w:r w:rsidRPr="00A1328E">
        <w:rPr>
          <w:rFonts w:cs="Times New Roman" w:hint="eastAsia"/>
        </w:rPr>
        <w:t>檢視技術合作</w:t>
      </w:r>
      <w:r w:rsidRPr="00A1328E">
        <w:rPr>
          <w:rFonts w:cs="Times New Roman" w:hint="eastAsia"/>
        </w:rPr>
        <w:t>2023</w:t>
      </w:r>
      <w:r w:rsidRPr="00A1328E">
        <w:rPr>
          <w:rFonts w:cs="Times New Roman" w:hint="eastAsia"/>
        </w:rPr>
        <w:t>年年度報告，其中包含技術合作計畫和長期專題計畫的執行率及財務運用情形；</w:t>
      </w:r>
    </w:p>
    <w:p w14:paraId="75ACD53F" w14:textId="77777777" w:rsidR="00A1328E" w:rsidRPr="00A1328E" w:rsidRDefault="00A1328E" w:rsidP="00A1328E">
      <w:pPr>
        <w:pStyle w:val="a3"/>
        <w:numPr>
          <w:ilvl w:val="1"/>
          <w:numId w:val="1"/>
        </w:numPr>
        <w:spacing w:beforeLines="50" w:before="180" w:afterLines="50" w:after="180"/>
        <w:ind w:leftChars="0"/>
        <w:jc w:val="both"/>
        <w:rPr>
          <w:rFonts w:cs="Times New Roman" w:hint="eastAsia"/>
        </w:rPr>
      </w:pPr>
      <w:r w:rsidRPr="00A1328E">
        <w:rPr>
          <w:rFonts w:cs="Times New Roman" w:hint="eastAsia"/>
        </w:rPr>
        <w:t>IMO</w:t>
      </w:r>
      <w:r w:rsidRPr="00A1328E">
        <w:rPr>
          <w:rFonts w:cs="Times New Roman" w:hint="eastAsia"/>
        </w:rPr>
        <w:t>能力發展綜合戰略的修訂工作取得進展；</w:t>
      </w:r>
    </w:p>
    <w:p w14:paraId="027DD3DB" w14:textId="77777777" w:rsidR="00A1328E" w:rsidRPr="00A1328E" w:rsidRDefault="00A1328E" w:rsidP="00A1328E">
      <w:pPr>
        <w:pStyle w:val="a3"/>
        <w:numPr>
          <w:ilvl w:val="1"/>
          <w:numId w:val="1"/>
        </w:numPr>
        <w:spacing w:beforeLines="50" w:before="180" w:afterLines="50" w:after="180"/>
        <w:ind w:leftChars="0"/>
        <w:jc w:val="both"/>
        <w:rPr>
          <w:rFonts w:cs="Times New Roman" w:hint="eastAsia"/>
        </w:rPr>
      </w:pPr>
      <w:r w:rsidRPr="00A1328E">
        <w:rPr>
          <w:rFonts w:cs="Times New Roman" w:hint="eastAsia"/>
        </w:rPr>
        <w:t>制定電子學習實施計畫，透過電子學習及混合方式以協助會員國能力建設；</w:t>
      </w:r>
    </w:p>
    <w:p w14:paraId="30351B1A" w14:textId="77777777" w:rsidR="00A1328E" w:rsidRPr="00A1328E" w:rsidRDefault="00A1328E" w:rsidP="00A1328E">
      <w:pPr>
        <w:pStyle w:val="a3"/>
        <w:numPr>
          <w:ilvl w:val="1"/>
          <w:numId w:val="1"/>
        </w:numPr>
        <w:spacing w:beforeLines="50" w:before="180" w:afterLines="50" w:after="180"/>
        <w:ind w:leftChars="0"/>
        <w:jc w:val="both"/>
        <w:rPr>
          <w:rFonts w:cs="Times New Roman" w:hint="eastAsia"/>
        </w:rPr>
      </w:pPr>
      <w:r w:rsidRPr="00A1328E">
        <w:rPr>
          <w:rFonts w:cs="Times New Roman" w:hint="eastAsia"/>
        </w:rPr>
        <w:t>持續</w:t>
      </w:r>
      <w:r w:rsidRPr="00A1328E">
        <w:rPr>
          <w:rFonts w:cs="Times New Roman" w:hint="eastAsia"/>
        </w:rPr>
        <w:t>IMO</w:t>
      </w:r>
      <w:r w:rsidRPr="00A1328E">
        <w:rPr>
          <w:rFonts w:cs="Times New Roman" w:hint="eastAsia"/>
        </w:rPr>
        <w:t>區域駐點擴展計畫，將增加新的區域駐點辦事處；</w:t>
      </w:r>
    </w:p>
    <w:p w14:paraId="0C1F5F74" w14:textId="1BADE923" w:rsidR="000835F4" w:rsidRPr="00A1328E" w:rsidRDefault="00A1328E" w:rsidP="00874E6E">
      <w:pPr>
        <w:pStyle w:val="a3"/>
        <w:numPr>
          <w:ilvl w:val="1"/>
          <w:numId w:val="1"/>
        </w:numPr>
        <w:spacing w:beforeLines="50" w:before="180" w:afterLines="50" w:after="180"/>
        <w:ind w:leftChars="0" w:left="964" w:hanging="482"/>
        <w:jc w:val="both"/>
        <w:rPr>
          <w:rFonts w:cs="Times New Roman"/>
        </w:rPr>
      </w:pPr>
      <w:r w:rsidRPr="00A1328E">
        <w:rPr>
          <w:rFonts w:cs="Times New Roman" w:hint="eastAsia"/>
        </w:rPr>
        <w:t>為推動海事領域性別平等以及實現聯合國永續發展目標</w:t>
      </w:r>
      <w:r w:rsidRPr="00A1328E">
        <w:rPr>
          <w:rFonts w:cs="Times New Roman" w:hint="eastAsia"/>
        </w:rPr>
        <w:t>5(SDG 5)</w:t>
      </w:r>
      <w:r w:rsidRPr="00A1328E">
        <w:rPr>
          <w:rFonts w:cs="Times New Roman" w:hint="eastAsia"/>
        </w:rPr>
        <w:t>，</w:t>
      </w:r>
      <w:r w:rsidRPr="00A1328E">
        <w:rPr>
          <w:rFonts w:cs="Times New Roman" w:hint="eastAsia"/>
        </w:rPr>
        <w:t>IMO</w:t>
      </w:r>
      <w:r w:rsidRPr="00A1328E">
        <w:rPr>
          <w:rFonts w:cs="Times New Roman" w:hint="eastAsia"/>
        </w:rPr>
        <w:t>致力於女性海事人員的能力建設，舉行海事婦女日以及相關活動。</w:t>
      </w:r>
    </w:p>
    <w:p w14:paraId="2A9D9D7D" w14:textId="77777777" w:rsidR="00B67C2B" w:rsidRPr="00A1328E" w:rsidRDefault="00B67C2B" w:rsidP="00B67C2B">
      <w:pPr>
        <w:pStyle w:val="a3"/>
        <w:spacing w:beforeLines="50" w:before="180" w:afterLines="50" w:after="180"/>
        <w:ind w:leftChars="0" w:left="964"/>
        <w:jc w:val="both"/>
        <w:rPr>
          <w:rFonts w:cs="Times New Roman"/>
        </w:rPr>
      </w:pPr>
    </w:p>
    <w:p w14:paraId="7BAF8EA9" w14:textId="65D61B80" w:rsidR="00C72C7D" w:rsidRPr="002D4B8D" w:rsidRDefault="009520E4" w:rsidP="00B67C2B">
      <w:pPr>
        <w:pStyle w:val="a3"/>
        <w:ind w:leftChars="0" w:left="283" w:hangingChars="101" w:hanging="283"/>
        <w:jc w:val="both"/>
        <w:rPr>
          <w:rFonts w:cs="Times New Roman"/>
          <w:b/>
        </w:rPr>
      </w:pPr>
      <w:r>
        <w:rPr>
          <w:rFonts w:cs="Times New Roman" w:hint="eastAsia"/>
          <w:b/>
          <w:sz w:val="28"/>
          <w:szCs w:val="28"/>
        </w:rPr>
        <w:t>四、</w:t>
      </w:r>
      <w:r w:rsidR="00C72C7D" w:rsidRPr="00D9277B">
        <w:rPr>
          <w:rFonts w:cs="Times New Roman"/>
          <w:b/>
          <w:sz w:val="28"/>
          <w:szCs w:val="28"/>
        </w:rPr>
        <w:t>會議摘要</w:t>
      </w:r>
      <w:r w:rsidR="001443C3" w:rsidRPr="0031779E">
        <w:rPr>
          <w:rStyle w:val="a7"/>
          <w:rFonts w:cs="Times New Roman"/>
          <w:b/>
        </w:rPr>
        <w:footnoteReference w:id="2"/>
      </w:r>
    </w:p>
    <w:p w14:paraId="18DBB436" w14:textId="7E1C596B" w:rsidR="00B67C4A" w:rsidRDefault="00B67C4A" w:rsidP="00EC3B38">
      <w:pPr>
        <w:pStyle w:val="a3"/>
        <w:numPr>
          <w:ilvl w:val="0"/>
          <w:numId w:val="2"/>
        </w:numPr>
        <w:ind w:leftChars="0"/>
        <w:rPr>
          <w:rFonts w:cs="Times New Roman"/>
          <w:b/>
          <w:szCs w:val="24"/>
        </w:rPr>
      </w:pPr>
      <w:bookmarkStart w:id="3" w:name="OLE_LINK21"/>
      <w:bookmarkEnd w:id="0"/>
      <w:bookmarkEnd w:id="1"/>
      <w:r w:rsidRPr="00B67C4A">
        <w:rPr>
          <w:rFonts w:cs="Times New Roman" w:hint="eastAsia"/>
          <w:b/>
          <w:szCs w:val="24"/>
        </w:rPr>
        <w:t>技術合作</w:t>
      </w:r>
      <w:r w:rsidRPr="00B67C4A">
        <w:rPr>
          <w:rFonts w:cs="Times New Roman" w:hint="eastAsia"/>
          <w:b/>
          <w:szCs w:val="24"/>
        </w:rPr>
        <w:t>2023</w:t>
      </w:r>
      <w:r w:rsidRPr="00B67C4A">
        <w:rPr>
          <w:rFonts w:cs="Times New Roman" w:hint="eastAsia"/>
          <w:b/>
          <w:szCs w:val="24"/>
        </w:rPr>
        <w:t>年年度報告</w:t>
      </w:r>
      <w:r w:rsidRPr="00B67C4A">
        <w:rPr>
          <w:rFonts w:cs="Times New Roman" w:hint="eastAsia"/>
          <w:b/>
          <w:szCs w:val="24"/>
        </w:rPr>
        <w:t>(</w:t>
      </w:r>
      <w:r w:rsidRPr="00B67C4A">
        <w:rPr>
          <w:rFonts w:cs="Times New Roman" w:hint="eastAsia"/>
          <w:b/>
          <w:szCs w:val="24"/>
        </w:rPr>
        <w:t>議程</w:t>
      </w:r>
      <w:r w:rsidRPr="00B67C4A">
        <w:rPr>
          <w:rFonts w:cs="Times New Roman" w:hint="eastAsia"/>
          <w:b/>
          <w:szCs w:val="24"/>
        </w:rPr>
        <w:t>3)</w:t>
      </w:r>
    </w:p>
    <w:p w14:paraId="77F992CE" w14:textId="77777777" w:rsidR="00B67C4A" w:rsidRPr="00B67C4A" w:rsidRDefault="00B67C4A" w:rsidP="00B67C4A">
      <w:pPr>
        <w:ind w:left="938" w:firstLine="480"/>
        <w:rPr>
          <w:rFonts w:hint="eastAsia"/>
        </w:rPr>
      </w:pPr>
      <w:r w:rsidRPr="00B67C4A">
        <w:rPr>
          <w:rFonts w:hint="eastAsia"/>
        </w:rPr>
        <w:t>委員會討論秘書處所提交的</w:t>
      </w:r>
      <w:r w:rsidRPr="00B67C4A">
        <w:rPr>
          <w:rFonts w:hint="eastAsia"/>
        </w:rPr>
        <w:t>IMO 2023</w:t>
      </w:r>
      <w:r w:rsidRPr="00B67C4A">
        <w:rPr>
          <w:rFonts w:hint="eastAsia"/>
        </w:rPr>
        <w:t>年技術合作活動年度報告。這些活動包括綜合技術合作計畫</w:t>
      </w:r>
      <w:r w:rsidRPr="00B67C4A">
        <w:rPr>
          <w:rFonts w:hint="eastAsia"/>
        </w:rPr>
        <w:t xml:space="preserve">(Integrated Technical Cooperation </w:t>
      </w:r>
      <w:proofErr w:type="spellStart"/>
      <w:r w:rsidRPr="00B67C4A">
        <w:rPr>
          <w:rFonts w:hint="eastAsia"/>
        </w:rPr>
        <w:t>Programme</w:t>
      </w:r>
      <w:proofErr w:type="spellEnd"/>
      <w:r w:rsidRPr="00B67C4A">
        <w:rPr>
          <w:rFonts w:hint="eastAsia"/>
        </w:rPr>
        <w:t>, ITCP)</w:t>
      </w:r>
      <w:r w:rsidRPr="00B67C4A">
        <w:rPr>
          <w:rFonts w:hint="eastAsia"/>
        </w:rPr>
        <w:t>和長期專題計畫，旨在根據</w:t>
      </w:r>
      <w:r w:rsidRPr="00B67C4A">
        <w:rPr>
          <w:rFonts w:hint="eastAsia"/>
        </w:rPr>
        <w:t>IMO</w:t>
      </w:r>
      <w:r w:rsidRPr="00B67C4A">
        <w:rPr>
          <w:rFonts w:hint="eastAsia"/>
        </w:rPr>
        <w:t>的全球性授權，支持各國實施國際海事規範和標準。</w:t>
      </w:r>
    </w:p>
    <w:p w14:paraId="3C81ECC9" w14:textId="1E8B38C5" w:rsidR="00B67C4A" w:rsidRDefault="00B67C4A" w:rsidP="00EC3B38">
      <w:pPr>
        <w:pStyle w:val="a3"/>
        <w:numPr>
          <w:ilvl w:val="1"/>
          <w:numId w:val="3"/>
        </w:numPr>
        <w:ind w:leftChars="0" w:left="1418"/>
        <w:rPr>
          <w:rFonts w:hint="eastAsia"/>
        </w:rPr>
      </w:pPr>
      <w:r>
        <w:rPr>
          <w:rFonts w:hint="eastAsia"/>
        </w:rPr>
        <w:t>執行率</w:t>
      </w:r>
      <w:r>
        <w:rPr>
          <w:rFonts w:hint="eastAsia"/>
        </w:rPr>
        <w:t>(Implementation rate)</w:t>
      </w:r>
      <w:r>
        <w:rPr>
          <w:rFonts w:hint="eastAsia"/>
        </w:rPr>
        <w:t>：</w:t>
      </w:r>
      <w:r>
        <w:rPr>
          <w:rFonts w:hint="eastAsia"/>
        </w:rPr>
        <w:t>2023</w:t>
      </w:r>
      <w:r>
        <w:rPr>
          <w:rFonts w:hint="eastAsia"/>
        </w:rPr>
        <w:t>年以現場或是遠端方式提供的技術合作活動執行率有所提升。在該年度中，</w:t>
      </w:r>
      <w:r>
        <w:rPr>
          <w:rFonts w:hint="eastAsia"/>
        </w:rPr>
        <w:t>ITCP</w:t>
      </w:r>
      <w:r>
        <w:rPr>
          <w:rFonts w:hint="eastAsia"/>
        </w:rPr>
        <w:t>的執行率達到</w:t>
      </w:r>
      <w:r>
        <w:rPr>
          <w:rFonts w:hint="eastAsia"/>
        </w:rPr>
        <w:t>75%</w:t>
      </w:r>
      <w:r w:rsidR="0066732A">
        <w:rPr>
          <w:rFonts w:hint="eastAsia"/>
        </w:rPr>
        <w:t>（</w:t>
      </w:r>
      <w:r>
        <w:rPr>
          <w:rFonts w:hint="eastAsia"/>
        </w:rPr>
        <w:t>2022</w:t>
      </w:r>
      <w:r>
        <w:rPr>
          <w:rFonts w:hint="eastAsia"/>
        </w:rPr>
        <w:t>年為</w:t>
      </w:r>
      <w:r>
        <w:rPr>
          <w:rFonts w:hint="eastAsia"/>
        </w:rPr>
        <w:t>70%</w:t>
      </w:r>
      <w:r w:rsidR="0066732A">
        <w:rPr>
          <w:rFonts w:hint="eastAsia"/>
        </w:rPr>
        <w:t>）</w:t>
      </w:r>
      <w:r>
        <w:rPr>
          <w:rFonts w:hint="eastAsia"/>
        </w:rPr>
        <w:t>，在原定</w:t>
      </w:r>
      <w:r>
        <w:rPr>
          <w:rFonts w:hint="eastAsia"/>
        </w:rPr>
        <w:t>276</w:t>
      </w:r>
      <w:r>
        <w:rPr>
          <w:rFonts w:hint="eastAsia"/>
        </w:rPr>
        <w:t>項計畫活動中已完成</w:t>
      </w:r>
      <w:r>
        <w:rPr>
          <w:rFonts w:hint="eastAsia"/>
        </w:rPr>
        <w:t>206</w:t>
      </w:r>
      <w:r>
        <w:rPr>
          <w:rFonts w:hint="eastAsia"/>
        </w:rPr>
        <w:t>項，其中包括：</w:t>
      </w:r>
    </w:p>
    <w:p w14:paraId="5F65AFE9" w14:textId="0A78D437" w:rsidR="00B67C4A" w:rsidRDefault="00B67C4A" w:rsidP="00EC3B38">
      <w:pPr>
        <w:pStyle w:val="a3"/>
        <w:numPr>
          <w:ilvl w:val="2"/>
          <w:numId w:val="4"/>
        </w:numPr>
        <w:ind w:leftChars="0" w:left="1985"/>
        <w:rPr>
          <w:rFonts w:hint="eastAsia"/>
        </w:rPr>
      </w:pPr>
      <w:r>
        <w:rPr>
          <w:rFonts w:hint="eastAsia"/>
        </w:rPr>
        <w:t>13</w:t>
      </w:r>
      <w:r>
        <w:rPr>
          <w:rFonts w:hint="eastAsia"/>
        </w:rPr>
        <w:t>次諮詢和需求評估；</w:t>
      </w:r>
    </w:p>
    <w:p w14:paraId="5B1A7621" w14:textId="580B12B2" w:rsidR="00B67C4A" w:rsidRDefault="00B67C4A" w:rsidP="00EC3B38">
      <w:pPr>
        <w:pStyle w:val="a3"/>
        <w:numPr>
          <w:ilvl w:val="2"/>
          <w:numId w:val="4"/>
        </w:numPr>
        <w:ind w:leftChars="0" w:left="1985"/>
        <w:rPr>
          <w:rFonts w:hint="eastAsia"/>
        </w:rPr>
      </w:pPr>
      <w:r>
        <w:rPr>
          <w:rFonts w:hint="eastAsia"/>
        </w:rPr>
        <w:t>102</w:t>
      </w:r>
      <w:r>
        <w:rPr>
          <w:rFonts w:hint="eastAsia"/>
        </w:rPr>
        <w:t>個訓練課程和工作坊，全球共有</w:t>
      </w:r>
      <w:r>
        <w:rPr>
          <w:rFonts w:hint="eastAsia"/>
        </w:rPr>
        <w:t>2,590</w:t>
      </w:r>
      <w:r>
        <w:rPr>
          <w:rFonts w:hint="eastAsia"/>
        </w:rPr>
        <w:t>位人員參與受訓。</w:t>
      </w:r>
    </w:p>
    <w:p w14:paraId="2132ACD4" w14:textId="77777777" w:rsidR="00B67C4A" w:rsidRDefault="00B67C4A" w:rsidP="00B67C4A">
      <w:pPr>
        <w:ind w:left="1440"/>
        <w:rPr>
          <w:rFonts w:hint="eastAsia"/>
        </w:rPr>
      </w:pPr>
      <w:proofErr w:type="gramStart"/>
      <w:r>
        <w:rPr>
          <w:rFonts w:hint="eastAsia"/>
        </w:rPr>
        <w:t>此外，</w:t>
      </w:r>
      <w:proofErr w:type="gramEnd"/>
      <w:r>
        <w:rPr>
          <w:rFonts w:hint="eastAsia"/>
        </w:rPr>
        <w:t>IMO</w:t>
      </w:r>
      <w:r>
        <w:rPr>
          <w:rFonts w:hint="eastAsia"/>
        </w:rPr>
        <w:t>亦資助了</w:t>
      </w:r>
      <w:r>
        <w:rPr>
          <w:rFonts w:hint="eastAsia"/>
        </w:rPr>
        <w:t>176</w:t>
      </w:r>
      <w:r>
        <w:rPr>
          <w:rFonts w:hint="eastAsia"/>
        </w:rPr>
        <w:t>位人員在世界海事大學</w:t>
      </w:r>
      <w:r>
        <w:rPr>
          <w:rFonts w:hint="eastAsia"/>
        </w:rPr>
        <w:t>(World Maritime University)</w:t>
      </w:r>
      <w:r>
        <w:rPr>
          <w:rFonts w:hint="eastAsia"/>
        </w:rPr>
        <w:t>、</w:t>
      </w:r>
      <w:r>
        <w:rPr>
          <w:rFonts w:hint="eastAsia"/>
        </w:rPr>
        <w:t>IMO</w:t>
      </w:r>
      <w:r>
        <w:rPr>
          <w:rFonts w:hint="eastAsia"/>
        </w:rPr>
        <w:t>國際海事法學院</w:t>
      </w:r>
      <w:r>
        <w:rPr>
          <w:rFonts w:hint="eastAsia"/>
        </w:rPr>
        <w:t>(International Maritime Law Institution)</w:t>
      </w:r>
      <w:r>
        <w:rPr>
          <w:rFonts w:hint="eastAsia"/>
        </w:rPr>
        <w:t>及其他機構學習。另有</w:t>
      </w:r>
      <w:r>
        <w:rPr>
          <w:rFonts w:hint="eastAsia"/>
        </w:rPr>
        <w:t>657</w:t>
      </w:r>
      <w:r>
        <w:rPr>
          <w:rFonts w:hint="eastAsia"/>
        </w:rPr>
        <w:t>名官員參加著重於發展和協調區域海事策略的活動。</w:t>
      </w:r>
    </w:p>
    <w:p w14:paraId="301CF684" w14:textId="77777777" w:rsidR="00B67C4A" w:rsidRDefault="00B67C4A" w:rsidP="00B67C4A">
      <w:pPr>
        <w:ind w:leftChars="600" w:left="1440"/>
        <w:rPr>
          <w:rFonts w:hint="eastAsia"/>
        </w:rPr>
      </w:pPr>
      <w:r>
        <w:rPr>
          <w:rFonts w:hint="eastAsia"/>
        </w:rPr>
        <w:t>而婦女參與率自參與獎助計畫活動的</w:t>
      </w:r>
      <w:r>
        <w:rPr>
          <w:rFonts w:hint="eastAsia"/>
        </w:rPr>
        <w:t>72%</w:t>
      </w:r>
      <w:r>
        <w:rPr>
          <w:rFonts w:hint="eastAsia"/>
        </w:rPr>
        <w:t>，到培訓活動的</w:t>
      </w:r>
      <w:r>
        <w:rPr>
          <w:rFonts w:hint="eastAsia"/>
        </w:rPr>
        <w:t>21%</w:t>
      </w:r>
      <w:r>
        <w:rPr>
          <w:rFonts w:hint="eastAsia"/>
        </w:rPr>
        <w:t>以及高層級活動的</w:t>
      </w:r>
      <w:r>
        <w:rPr>
          <w:rFonts w:hint="eastAsia"/>
        </w:rPr>
        <w:t>44%</w:t>
      </w:r>
      <w:r>
        <w:rPr>
          <w:rFonts w:hint="eastAsia"/>
        </w:rPr>
        <w:t>不等，顯示仍有改善空間。</w:t>
      </w:r>
    </w:p>
    <w:p w14:paraId="6229F3F4" w14:textId="1C31961F" w:rsidR="00B67C4A" w:rsidRDefault="00B67C4A" w:rsidP="00EC3B38">
      <w:pPr>
        <w:pStyle w:val="a3"/>
        <w:numPr>
          <w:ilvl w:val="1"/>
          <w:numId w:val="3"/>
        </w:numPr>
        <w:ind w:leftChars="0" w:left="1418"/>
        <w:rPr>
          <w:rFonts w:hint="eastAsia"/>
        </w:rPr>
      </w:pPr>
      <w:r>
        <w:rPr>
          <w:rFonts w:hint="eastAsia"/>
        </w:rPr>
        <w:t>財務</w:t>
      </w:r>
      <w:proofErr w:type="gramStart"/>
      <w:r>
        <w:rPr>
          <w:rFonts w:hint="eastAsia"/>
        </w:rPr>
        <w:t>動支率</w:t>
      </w:r>
      <w:proofErr w:type="gramEnd"/>
      <w:r>
        <w:rPr>
          <w:rFonts w:hint="eastAsia"/>
        </w:rPr>
        <w:t>(Financial delivery rate)</w:t>
      </w:r>
      <w:r>
        <w:rPr>
          <w:rFonts w:hint="eastAsia"/>
        </w:rPr>
        <w:t>：</w:t>
      </w:r>
      <w:r>
        <w:rPr>
          <w:rFonts w:hint="eastAsia"/>
        </w:rPr>
        <w:t>2023</w:t>
      </w:r>
      <w:r>
        <w:rPr>
          <w:rFonts w:hint="eastAsia"/>
        </w:rPr>
        <w:t>年技術活動的財務</w:t>
      </w:r>
      <w:proofErr w:type="gramStart"/>
      <w:r>
        <w:rPr>
          <w:rFonts w:hint="eastAsia"/>
        </w:rPr>
        <w:t>動支率為</w:t>
      </w:r>
      <w:proofErr w:type="gramEnd"/>
      <w:r>
        <w:rPr>
          <w:rFonts w:hint="eastAsia"/>
        </w:rPr>
        <w:t>68%</w:t>
      </w:r>
      <w:r>
        <w:rPr>
          <w:rFonts w:hint="eastAsia"/>
        </w:rPr>
        <w:t>，在</w:t>
      </w:r>
      <w:r>
        <w:rPr>
          <w:rFonts w:hint="eastAsia"/>
        </w:rPr>
        <w:t>2,960</w:t>
      </w:r>
      <w:r>
        <w:rPr>
          <w:rFonts w:hint="eastAsia"/>
        </w:rPr>
        <w:t>萬美元的預算經費中，總支出為</w:t>
      </w:r>
      <w:r>
        <w:rPr>
          <w:rFonts w:hint="eastAsia"/>
        </w:rPr>
        <w:t>1,990</w:t>
      </w:r>
      <w:r>
        <w:rPr>
          <w:rFonts w:hint="eastAsia"/>
        </w:rPr>
        <w:t>萬美元，涵蓋</w:t>
      </w:r>
      <w:r>
        <w:rPr>
          <w:rFonts w:hint="eastAsia"/>
        </w:rPr>
        <w:t>ITCP</w:t>
      </w:r>
      <w:r>
        <w:rPr>
          <w:rFonts w:hint="eastAsia"/>
        </w:rPr>
        <w:t>和長期專題計畫。</w:t>
      </w:r>
    </w:p>
    <w:p w14:paraId="2ABF6F08" w14:textId="77777777" w:rsidR="00B67C4A" w:rsidRDefault="00B67C4A" w:rsidP="00B67C4A">
      <w:pPr>
        <w:pStyle w:val="a3"/>
        <w:ind w:leftChars="0" w:left="1418"/>
      </w:pPr>
      <w:r>
        <w:rPr>
          <w:rFonts w:hint="eastAsia"/>
        </w:rPr>
        <w:t>僅技術合作基金的</w:t>
      </w:r>
      <w:proofErr w:type="gramStart"/>
      <w:r>
        <w:rPr>
          <w:rFonts w:hint="eastAsia"/>
        </w:rPr>
        <w:t>動支率為</w:t>
      </w:r>
      <w:proofErr w:type="gramEnd"/>
      <w:r>
        <w:rPr>
          <w:rFonts w:hint="eastAsia"/>
        </w:rPr>
        <w:t>80%</w:t>
      </w:r>
      <w:r>
        <w:rPr>
          <w:rFonts w:hint="eastAsia"/>
        </w:rPr>
        <w:t>，</w:t>
      </w:r>
      <w:r>
        <w:rPr>
          <w:rFonts w:hint="eastAsia"/>
        </w:rPr>
        <w:t>ITCP</w:t>
      </w:r>
      <w:r>
        <w:rPr>
          <w:rFonts w:hint="eastAsia"/>
        </w:rPr>
        <w:t>活動和主要計畫的支出來自</w:t>
      </w:r>
      <w:r>
        <w:rPr>
          <w:rFonts w:hint="eastAsia"/>
        </w:rPr>
        <w:t>26</w:t>
      </w:r>
      <w:r>
        <w:rPr>
          <w:rFonts w:hint="eastAsia"/>
        </w:rPr>
        <w:t>個不同的資金來源。技術合作基金提供</w:t>
      </w:r>
      <w:r>
        <w:rPr>
          <w:rFonts w:hint="eastAsia"/>
        </w:rPr>
        <w:t>790</w:t>
      </w:r>
      <w:r>
        <w:rPr>
          <w:rFonts w:hint="eastAsia"/>
        </w:rPr>
        <w:t>萬美元，</w:t>
      </w:r>
      <w:proofErr w:type="gramStart"/>
      <w:r>
        <w:rPr>
          <w:rFonts w:hint="eastAsia"/>
        </w:rPr>
        <w:t>佔</w:t>
      </w:r>
      <w:proofErr w:type="gramEnd"/>
      <w:r>
        <w:rPr>
          <w:rFonts w:hint="eastAsia"/>
        </w:rPr>
        <w:t>總支出的</w:t>
      </w:r>
      <w:r>
        <w:rPr>
          <w:rFonts w:hint="eastAsia"/>
        </w:rPr>
        <w:t>40%</w:t>
      </w:r>
      <w:r>
        <w:rPr>
          <w:rFonts w:hint="eastAsia"/>
        </w:rPr>
        <w:t>。</w:t>
      </w:r>
    </w:p>
    <w:p w14:paraId="209F668B" w14:textId="2F9CBB05" w:rsidR="00B67C4A" w:rsidRPr="00B67C4A" w:rsidRDefault="00B67C4A" w:rsidP="00B67C4A">
      <w:pPr>
        <w:pStyle w:val="a3"/>
        <w:ind w:leftChars="0" w:left="1418"/>
        <w:rPr>
          <w:rFonts w:hint="eastAsia"/>
        </w:rPr>
      </w:pPr>
      <w:r>
        <w:rPr>
          <w:rFonts w:hint="eastAsia"/>
        </w:rPr>
        <w:t>委員會對所有捐助方和合作夥伴提供的資金和實物捐助表達感</w:t>
      </w:r>
      <w:r>
        <w:rPr>
          <w:rFonts w:hint="eastAsia"/>
        </w:rPr>
        <w:lastRenderedPageBreak/>
        <w:t>謝。</w:t>
      </w:r>
    </w:p>
    <w:p w14:paraId="3FCDD418" w14:textId="7749E6FB" w:rsidR="00B67C4A" w:rsidRDefault="00B67C4A" w:rsidP="00EC3B38">
      <w:pPr>
        <w:pStyle w:val="a3"/>
        <w:numPr>
          <w:ilvl w:val="0"/>
          <w:numId w:val="2"/>
        </w:numPr>
        <w:ind w:leftChars="0"/>
        <w:rPr>
          <w:rFonts w:cs="Times New Roman"/>
          <w:b/>
          <w:szCs w:val="24"/>
        </w:rPr>
      </w:pPr>
      <w:r w:rsidRPr="00B67C4A">
        <w:rPr>
          <w:rFonts w:cs="Times New Roman" w:hint="eastAsia"/>
          <w:b/>
          <w:szCs w:val="24"/>
        </w:rPr>
        <w:t>資源調動</w:t>
      </w:r>
      <w:r w:rsidRPr="00B67C4A">
        <w:rPr>
          <w:rFonts w:cs="Times New Roman" w:hint="eastAsia"/>
          <w:b/>
          <w:szCs w:val="24"/>
        </w:rPr>
        <w:t>(</w:t>
      </w:r>
      <w:r w:rsidRPr="00B67C4A">
        <w:rPr>
          <w:rFonts w:cs="Times New Roman" w:hint="eastAsia"/>
          <w:b/>
          <w:szCs w:val="24"/>
        </w:rPr>
        <w:t>議程</w:t>
      </w:r>
      <w:r w:rsidRPr="00B67C4A">
        <w:rPr>
          <w:rFonts w:cs="Times New Roman" w:hint="eastAsia"/>
          <w:b/>
          <w:szCs w:val="24"/>
        </w:rPr>
        <w:t>3)</w:t>
      </w:r>
    </w:p>
    <w:p w14:paraId="692F3101" w14:textId="52FE864F" w:rsidR="00B67C4A" w:rsidRPr="00B67C4A" w:rsidRDefault="00B67C4A" w:rsidP="00B67C4A">
      <w:pPr>
        <w:ind w:left="960" w:firstLine="480"/>
        <w:rPr>
          <w:rFonts w:cs="Times New Roman" w:hint="eastAsia"/>
          <w:b/>
          <w:szCs w:val="24"/>
        </w:rPr>
      </w:pPr>
      <w:r w:rsidRPr="00B312E5">
        <w:rPr>
          <w:rFonts w:hint="eastAsia"/>
        </w:rPr>
        <w:t>委員會注意到自上屆會議</w:t>
      </w:r>
      <w:r w:rsidRPr="00B312E5">
        <w:rPr>
          <w:rFonts w:hint="eastAsia"/>
        </w:rPr>
        <w:t>TC 73</w:t>
      </w:r>
      <w:r w:rsidRPr="00B312E5">
        <w:rPr>
          <w:rFonts w:hint="eastAsia"/>
        </w:rPr>
        <w:t>以來，捐助方共認捐和捐助了</w:t>
      </w:r>
      <w:r w:rsidRPr="00B312E5">
        <w:rPr>
          <w:rFonts w:hint="eastAsia"/>
        </w:rPr>
        <w:t>1</w:t>
      </w:r>
      <w:r>
        <w:t>,</w:t>
      </w:r>
      <w:r w:rsidRPr="00B312E5">
        <w:rPr>
          <w:rFonts w:hint="eastAsia"/>
        </w:rPr>
        <w:t>032</w:t>
      </w:r>
      <w:r w:rsidRPr="00B312E5">
        <w:rPr>
          <w:rFonts w:hint="eastAsia"/>
        </w:rPr>
        <w:t>萬美元，用於支持長期專題計畫。這使得這些計</w:t>
      </w:r>
      <w:r>
        <w:rPr>
          <w:rFonts w:hint="eastAsia"/>
        </w:rPr>
        <w:t>畫</w:t>
      </w:r>
      <w:r w:rsidRPr="00B312E5">
        <w:rPr>
          <w:rFonts w:hint="eastAsia"/>
        </w:rPr>
        <w:t>的總值</w:t>
      </w:r>
      <w:r w:rsidRPr="00B312E5">
        <w:rPr>
          <w:rFonts w:hint="eastAsia"/>
        </w:rPr>
        <w:t>(</w:t>
      </w:r>
      <w:r w:rsidRPr="00B312E5">
        <w:rPr>
          <w:rFonts w:hint="eastAsia"/>
        </w:rPr>
        <w:t>包含認捐</w:t>
      </w:r>
      <w:r w:rsidRPr="00B312E5">
        <w:rPr>
          <w:rFonts w:hint="eastAsia"/>
        </w:rPr>
        <w:t>)</w:t>
      </w:r>
      <w:r w:rsidRPr="00B312E5">
        <w:rPr>
          <w:rFonts w:hint="eastAsia"/>
        </w:rPr>
        <w:t>達到</w:t>
      </w:r>
      <w:r w:rsidRPr="00B312E5">
        <w:rPr>
          <w:rFonts w:hint="eastAsia"/>
        </w:rPr>
        <w:t>16</w:t>
      </w:r>
      <w:r w:rsidRPr="00B312E5">
        <w:rPr>
          <w:rFonts w:hint="eastAsia"/>
        </w:rPr>
        <w:t>億美元。</w:t>
      </w:r>
    </w:p>
    <w:p w14:paraId="7760B43C" w14:textId="12B5BBDB" w:rsidR="00B67C4A" w:rsidRDefault="00B67C4A" w:rsidP="00EC3B38">
      <w:pPr>
        <w:pStyle w:val="a3"/>
        <w:numPr>
          <w:ilvl w:val="0"/>
          <w:numId w:val="2"/>
        </w:numPr>
        <w:ind w:leftChars="0"/>
        <w:rPr>
          <w:rFonts w:cs="Times New Roman"/>
          <w:b/>
          <w:szCs w:val="24"/>
        </w:rPr>
      </w:pPr>
      <w:r w:rsidRPr="00B67C4A">
        <w:rPr>
          <w:rFonts w:cs="Times New Roman" w:hint="eastAsia"/>
          <w:b/>
          <w:szCs w:val="24"/>
        </w:rPr>
        <w:t>夥伴關係安排</w:t>
      </w:r>
      <w:r w:rsidRPr="00B67C4A">
        <w:rPr>
          <w:rFonts w:cs="Times New Roman" w:hint="eastAsia"/>
          <w:b/>
          <w:szCs w:val="24"/>
        </w:rPr>
        <w:t>(</w:t>
      </w:r>
      <w:r w:rsidRPr="00B67C4A">
        <w:rPr>
          <w:rFonts w:cs="Times New Roman" w:hint="eastAsia"/>
          <w:b/>
          <w:szCs w:val="24"/>
        </w:rPr>
        <w:t>議程</w:t>
      </w:r>
      <w:r w:rsidRPr="00B67C4A">
        <w:rPr>
          <w:rFonts w:cs="Times New Roman" w:hint="eastAsia"/>
          <w:b/>
          <w:szCs w:val="24"/>
        </w:rPr>
        <w:t>4)</w:t>
      </w:r>
    </w:p>
    <w:p w14:paraId="09E9968A" w14:textId="77777777" w:rsidR="00B67C4A" w:rsidRPr="00B67C4A" w:rsidRDefault="00B67C4A" w:rsidP="00B67C4A">
      <w:pPr>
        <w:ind w:left="960" w:firstLine="480"/>
        <w:rPr>
          <w:rFonts w:hint="eastAsia"/>
        </w:rPr>
      </w:pPr>
      <w:r w:rsidRPr="00B67C4A">
        <w:rPr>
          <w:rFonts w:hint="eastAsia"/>
        </w:rPr>
        <w:t>委員會注意到在</w:t>
      </w:r>
      <w:r w:rsidRPr="00B67C4A">
        <w:rPr>
          <w:rFonts w:hint="eastAsia"/>
        </w:rPr>
        <w:t>2023</w:t>
      </w:r>
      <w:r w:rsidRPr="00B67C4A">
        <w:rPr>
          <w:rFonts w:hint="eastAsia"/>
        </w:rPr>
        <w:t>年</w:t>
      </w:r>
      <w:r w:rsidRPr="00B67C4A">
        <w:rPr>
          <w:rFonts w:hint="eastAsia"/>
        </w:rPr>
        <w:t>IMO</w:t>
      </w:r>
      <w:r w:rsidRPr="00B67C4A">
        <w:rPr>
          <w:rFonts w:hint="eastAsia"/>
        </w:rPr>
        <w:t>總共締結了</w:t>
      </w:r>
      <w:r w:rsidRPr="00B67C4A">
        <w:rPr>
          <w:rFonts w:hint="eastAsia"/>
        </w:rPr>
        <w:t>53</w:t>
      </w:r>
      <w:r w:rsidRPr="00B67C4A">
        <w:rPr>
          <w:rFonts w:hint="eastAsia"/>
        </w:rPr>
        <w:t>項新的夥伴關係。其中</w:t>
      </w:r>
      <w:r w:rsidRPr="00B67C4A">
        <w:rPr>
          <w:rFonts w:hint="eastAsia"/>
        </w:rPr>
        <w:t>50</w:t>
      </w:r>
      <w:r w:rsidRPr="00B67C4A">
        <w:rPr>
          <w:rFonts w:hint="eastAsia"/>
        </w:rPr>
        <w:t>項為財務安排，總額約為</w:t>
      </w:r>
      <w:r w:rsidRPr="00B67C4A">
        <w:rPr>
          <w:rFonts w:hint="eastAsia"/>
        </w:rPr>
        <w:t>13,257,872</w:t>
      </w:r>
      <w:r w:rsidRPr="00B67C4A">
        <w:rPr>
          <w:rFonts w:hint="eastAsia"/>
        </w:rPr>
        <w:t>美元。</w:t>
      </w:r>
    </w:p>
    <w:p w14:paraId="6140E441" w14:textId="77777777" w:rsidR="00B67C4A" w:rsidRPr="00B67C4A" w:rsidRDefault="00B67C4A" w:rsidP="00B67C4A">
      <w:pPr>
        <w:ind w:left="960" w:firstLine="480"/>
        <w:rPr>
          <w:rFonts w:hint="eastAsia"/>
        </w:rPr>
      </w:pPr>
      <w:r w:rsidRPr="00B67C4A">
        <w:rPr>
          <w:rFonts w:hint="eastAsia"/>
        </w:rPr>
        <w:t>委員會注意到截至</w:t>
      </w:r>
      <w:r w:rsidRPr="00B67C4A">
        <w:rPr>
          <w:rFonts w:hint="eastAsia"/>
        </w:rPr>
        <w:t>2023</w:t>
      </w:r>
      <w:r w:rsidRPr="00B67C4A">
        <w:rPr>
          <w:rFonts w:hint="eastAsia"/>
        </w:rPr>
        <w:t>年</w:t>
      </w:r>
      <w:r w:rsidRPr="00B67C4A">
        <w:rPr>
          <w:rFonts w:hint="eastAsia"/>
        </w:rPr>
        <w:t>12</w:t>
      </w:r>
      <w:r w:rsidRPr="00B67C4A">
        <w:rPr>
          <w:rFonts w:hint="eastAsia"/>
        </w:rPr>
        <w:t>月，現有</w:t>
      </w:r>
      <w:r w:rsidRPr="00B67C4A">
        <w:rPr>
          <w:rFonts w:hint="eastAsia"/>
        </w:rPr>
        <w:t>158</w:t>
      </w:r>
      <w:r w:rsidRPr="00B67C4A">
        <w:rPr>
          <w:rFonts w:hint="eastAsia"/>
        </w:rPr>
        <w:t>項夥伴關係，相較於上屆會議</w:t>
      </w:r>
      <w:r w:rsidRPr="00B67C4A">
        <w:rPr>
          <w:rFonts w:hint="eastAsia"/>
        </w:rPr>
        <w:t>TC 73</w:t>
      </w:r>
      <w:r w:rsidRPr="00B67C4A">
        <w:rPr>
          <w:rFonts w:hint="eastAsia"/>
        </w:rPr>
        <w:t>報告的</w:t>
      </w:r>
      <w:r w:rsidRPr="00B67C4A">
        <w:rPr>
          <w:rFonts w:hint="eastAsia"/>
        </w:rPr>
        <w:t>128</w:t>
      </w:r>
      <w:r w:rsidRPr="00B67C4A">
        <w:rPr>
          <w:rFonts w:hint="eastAsia"/>
        </w:rPr>
        <w:t>項和</w:t>
      </w:r>
      <w:r w:rsidRPr="00B67C4A">
        <w:rPr>
          <w:rFonts w:hint="eastAsia"/>
        </w:rPr>
        <w:t>TC 72</w:t>
      </w:r>
      <w:r w:rsidRPr="00B67C4A">
        <w:rPr>
          <w:rFonts w:hint="eastAsia"/>
        </w:rPr>
        <w:t>報告的</w:t>
      </w:r>
      <w:r w:rsidRPr="00B67C4A">
        <w:rPr>
          <w:rFonts w:hint="eastAsia"/>
        </w:rPr>
        <w:t>97</w:t>
      </w:r>
      <w:r w:rsidRPr="00B67C4A">
        <w:rPr>
          <w:rFonts w:hint="eastAsia"/>
        </w:rPr>
        <w:t>項有所增加。這</w:t>
      </w:r>
      <w:r w:rsidRPr="00B67C4A">
        <w:rPr>
          <w:rFonts w:hint="eastAsia"/>
        </w:rPr>
        <w:t>158</w:t>
      </w:r>
      <w:r w:rsidRPr="00B67C4A">
        <w:rPr>
          <w:rFonts w:hint="eastAsia"/>
        </w:rPr>
        <w:t>項夥伴關係中，</w:t>
      </w:r>
      <w:r w:rsidRPr="00B67C4A">
        <w:rPr>
          <w:rFonts w:hint="eastAsia"/>
        </w:rPr>
        <w:t>55</w:t>
      </w:r>
      <w:r w:rsidRPr="00B67C4A">
        <w:rPr>
          <w:rFonts w:hint="eastAsia"/>
        </w:rPr>
        <w:t>項被歸類為一次性財政支援，</w:t>
      </w:r>
      <w:r w:rsidRPr="00B67C4A">
        <w:rPr>
          <w:rFonts w:hint="eastAsia"/>
        </w:rPr>
        <w:t>88</w:t>
      </w:r>
      <w:r w:rsidRPr="00B67C4A">
        <w:rPr>
          <w:rFonts w:hint="eastAsia"/>
        </w:rPr>
        <w:t>項為財政和實物援助或透過國際海事組織區域駐點辦事處或其他活動中心提供，</w:t>
      </w:r>
      <w:r w:rsidRPr="00B67C4A">
        <w:rPr>
          <w:rFonts w:hint="eastAsia"/>
        </w:rPr>
        <w:t>13</w:t>
      </w:r>
      <w:r w:rsidRPr="00B67C4A">
        <w:rPr>
          <w:rFonts w:hint="eastAsia"/>
        </w:rPr>
        <w:t>項為執行夥伴關係協定。</w:t>
      </w:r>
    </w:p>
    <w:p w14:paraId="60F48677" w14:textId="11816D54" w:rsidR="00B67C4A" w:rsidRPr="00B67C4A" w:rsidRDefault="00B67C4A" w:rsidP="00B67C4A">
      <w:pPr>
        <w:ind w:left="960" w:firstLine="480"/>
        <w:rPr>
          <w:rFonts w:hint="eastAsia"/>
        </w:rPr>
      </w:pPr>
      <w:r w:rsidRPr="00B67C4A">
        <w:rPr>
          <w:rFonts w:hint="eastAsia"/>
        </w:rPr>
        <w:t>委員會對夥伴關係活動的顯著改善表示讚賞，並對所有捐助方和合作夥伴表達感謝之意。</w:t>
      </w:r>
    </w:p>
    <w:p w14:paraId="19D73F9E" w14:textId="77777777" w:rsidR="00BD5B02" w:rsidRPr="00BD5B02" w:rsidRDefault="00BD5B02" w:rsidP="00EC3B38">
      <w:pPr>
        <w:pStyle w:val="a3"/>
        <w:numPr>
          <w:ilvl w:val="0"/>
          <w:numId w:val="2"/>
        </w:numPr>
        <w:ind w:leftChars="0"/>
        <w:rPr>
          <w:rFonts w:cs="Times New Roman"/>
          <w:b/>
          <w:szCs w:val="24"/>
        </w:rPr>
      </w:pPr>
      <w:r w:rsidRPr="00BD5B02">
        <w:rPr>
          <w:rFonts w:cs="Times New Roman" w:hint="eastAsia"/>
          <w:b/>
          <w:szCs w:val="24"/>
        </w:rPr>
        <w:t>對技術合作的財政捐助</w:t>
      </w:r>
      <w:r w:rsidRPr="00BD5B02">
        <w:rPr>
          <w:rFonts w:cs="Times New Roman" w:hint="eastAsia"/>
          <w:b/>
          <w:szCs w:val="24"/>
        </w:rPr>
        <w:t>(</w:t>
      </w:r>
      <w:r w:rsidRPr="00BD5B02">
        <w:rPr>
          <w:rFonts w:cs="Times New Roman" w:hint="eastAsia"/>
          <w:b/>
          <w:szCs w:val="24"/>
        </w:rPr>
        <w:t>議程</w:t>
      </w:r>
      <w:r w:rsidRPr="00BD5B02">
        <w:rPr>
          <w:rFonts w:cs="Times New Roman" w:hint="eastAsia"/>
          <w:b/>
          <w:szCs w:val="24"/>
        </w:rPr>
        <w:t>4)</w:t>
      </w:r>
    </w:p>
    <w:p w14:paraId="71B0466B" w14:textId="42E723B9" w:rsidR="00BD5B02" w:rsidRDefault="00BD5B02" w:rsidP="00542EAD">
      <w:pPr>
        <w:pStyle w:val="a3"/>
        <w:ind w:leftChars="0" w:left="960" w:firstLine="480"/>
        <w:jc w:val="both"/>
        <w:rPr>
          <w:szCs w:val="24"/>
        </w:rPr>
      </w:pPr>
      <w:r w:rsidRPr="00B312E5">
        <w:rPr>
          <w:rFonts w:hint="eastAsia"/>
          <w:szCs w:val="24"/>
        </w:rPr>
        <w:t>委員會注意到在</w:t>
      </w:r>
      <w:r w:rsidRPr="00B312E5">
        <w:rPr>
          <w:rFonts w:hint="eastAsia"/>
          <w:szCs w:val="24"/>
        </w:rPr>
        <w:t>2023</w:t>
      </w:r>
      <w:r w:rsidRPr="00B312E5">
        <w:rPr>
          <w:rFonts w:hint="eastAsia"/>
          <w:szCs w:val="24"/>
        </w:rPr>
        <w:t>年</w:t>
      </w:r>
      <w:r w:rsidRPr="00B312E5">
        <w:rPr>
          <w:rFonts w:hint="eastAsia"/>
          <w:szCs w:val="24"/>
        </w:rPr>
        <w:t>1</w:t>
      </w:r>
      <w:r w:rsidRPr="00B312E5">
        <w:rPr>
          <w:rFonts w:hint="eastAsia"/>
          <w:szCs w:val="24"/>
        </w:rPr>
        <w:t>月</w:t>
      </w:r>
      <w:r w:rsidRPr="00B312E5">
        <w:rPr>
          <w:rFonts w:hint="eastAsia"/>
          <w:szCs w:val="24"/>
        </w:rPr>
        <w:t>1</w:t>
      </w:r>
      <w:r w:rsidRPr="00B312E5">
        <w:rPr>
          <w:rFonts w:hint="eastAsia"/>
          <w:szCs w:val="24"/>
        </w:rPr>
        <w:t>日至</w:t>
      </w:r>
      <w:r w:rsidRPr="00B312E5">
        <w:rPr>
          <w:rFonts w:hint="eastAsia"/>
          <w:szCs w:val="24"/>
        </w:rPr>
        <w:t>12</w:t>
      </w:r>
      <w:r w:rsidRPr="00B312E5">
        <w:rPr>
          <w:rFonts w:hint="eastAsia"/>
          <w:szCs w:val="24"/>
        </w:rPr>
        <w:t>月</w:t>
      </w:r>
      <w:r w:rsidRPr="00B312E5">
        <w:rPr>
          <w:rFonts w:hint="eastAsia"/>
          <w:szCs w:val="24"/>
        </w:rPr>
        <w:t>31</w:t>
      </w:r>
      <w:r w:rsidRPr="00B312E5">
        <w:rPr>
          <w:rFonts w:hint="eastAsia"/>
          <w:szCs w:val="24"/>
        </w:rPr>
        <w:t>日</w:t>
      </w:r>
      <w:proofErr w:type="gramStart"/>
      <w:r w:rsidRPr="00B312E5">
        <w:rPr>
          <w:rFonts w:hint="eastAsia"/>
          <w:szCs w:val="24"/>
        </w:rPr>
        <w:t>期間，</w:t>
      </w:r>
      <w:proofErr w:type="gramEnd"/>
      <w:r w:rsidRPr="00B312E5">
        <w:rPr>
          <w:rFonts w:hint="eastAsia"/>
          <w:szCs w:val="24"/>
        </w:rPr>
        <w:t>總共收到</w:t>
      </w:r>
      <w:r w:rsidRPr="00B312E5">
        <w:rPr>
          <w:rFonts w:hint="eastAsia"/>
          <w:szCs w:val="24"/>
        </w:rPr>
        <w:t>13,257,872</w:t>
      </w:r>
      <w:r w:rsidRPr="00B312E5">
        <w:rPr>
          <w:rFonts w:hint="eastAsia"/>
          <w:szCs w:val="24"/>
        </w:rPr>
        <w:t>美元用於國際海事組織技術合作的</w:t>
      </w:r>
      <w:r>
        <w:rPr>
          <w:rFonts w:hint="eastAsia"/>
          <w:szCs w:val="24"/>
        </w:rPr>
        <w:t>可持續</w:t>
      </w:r>
      <w:r w:rsidRPr="00B312E5">
        <w:rPr>
          <w:rFonts w:hint="eastAsia"/>
          <w:szCs w:val="24"/>
        </w:rPr>
        <w:t>性融資。其中包括</w:t>
      </w:r>
      <w:r w:rsidRPr="00B312E5">
        <w:rPr>
          <w:rFonts w:hint="eastAsia"/>
          <w:szCs w:val="24"/>
        </w:rPr>
        <w:t xml:space="preserve"> </w:t>
      </w:r>
      <w:r w:rsidRPr="00B312E5">
        <w:rPr>
          <w:rFonts w:hint="eastAsia"/>
          <w:szCs w:val="24"/>
        </w:rPr>
        <w:t>：</w:t>
      </w:r>
    </w:p>
    <w:p w14:paraId="1866C76B" w14:textId="77777777" w:rsidR="00BD5B02" w:rsidRPr="00BD5B02" w:rsidRDefault="00BD5B02" w:rsidP="00E60214">
      <w:pPr>
        <w:pStyle w:val="a3"/>
        <w:ind w:leftChars="413" w:left="991" w:firstLine="480"/>
        <w:jc w:val="both"/>
        <w:rPr>
          <w:rFonts w:hint="eastAsia"/>
          <w:szCs w:val="24"/>
        </w:rPr>
      </w:pPr>
      <w:r w:rsidRPr="00BD5B02">
        <w:rPr>
          <w:rFonts w:hint="eastAsia"/>
          <w:szCs w:val="24"/>
        </w:rPr>
        <w:t>(1)</w:t>
      </w:r>
      <w:r w:rsidRPr="00BD5B02">
        <w:rPr>
          <w:rFonts w:hint="eastAsia"/>
          <w:szCs w:val="24"/>
        </w:rPr>
        <w:tab/>
      </w:r>
      <w:r w:rsidRPr="00BD5B02">
        <w:rPr>
          <w:rFonts w:hint="eastAsia"/>
          <w:szCs w:val="24"/>
        </w:rPr>
        <w:t>在</w:t>
      </w:r>
      <w:r w:rsidRPr="00BD5B02">
        <w:rPr>
          <w:rFonts w:hint="eastAsia"/>
          <w:szCs w:val="24"/>
        </w:rPr>
        <w:t>2023</w:t>
      </w:r>
      <w:r w:rsidRPr="00BD5B02">
        <w:rPr>
          <w:rFonts w:hint="eastAsia"/>
          <w:szCs w:val="24"/>
        </w:rPr>
        <w:t>年建立在新財務安排下收到</w:t>
      </w:r>
      <w:r w:rsidRPr="00BD5B02">
        <w:rPr>
          <w:rFonts w:hint="eastAsia"/>
          <w:szCs w:val="24"/>
        </w:rPr>
        <w:t>230,355</w:t>
      </w:r>
      <w:r w:rsidRPr="00BD5B02">
        <w:rPr>
          <w:rFonts w:hint="eastAsia"/>
          <w:szCs w:val="24"/>
        </w:rPr>
        <w:t>美元；</w:t>
      </w:r>
    </w:p>
    <w:p w14:paraId="39FD1595" w14:textId="77777777" w:rsidR="00BD5B02" w:rsidRPr="00BD5B02" w:rsidRDefault="00BD5B02" w:rsidP="00E60214">
      <w:pPr>
        <w:pStyle w:val="a3"/>
        <w:ind w:leftChars="413" w:left="991" w:firstLine="480"/>
        <w:jc w:val="both"/>
        <w:rPr>
          <w:rFonts w:hint="eastAsia"/>
          <w:szCs w:val="24"/>
        </w:rPr>
      </w:pPr>
      <w:r w:rsidRPr="00BD5B02">
        <w:rPr>
          <w:rFonts w:hint="eastAsia"/>
          <w:szCs w:val="24"/>
        </w:rPr>
        <w:t>(2)</w:t>
      </w:r>
      <w:r w:rsidRPr="00BD5B02">
        <w:rPr>
          <w:rFonts w:hint="eastAsia"/>
          <w:szCs w:val="24"/>
        </w:rPr>
        <w:tab/>
      </w:r>
      <w:r w:rsidRPr="00BD5B02">
        <w:rPr>
          <w:rFonts w:hint="eastAsia"/>
          <w:szCs w:val="24"/>
        </w:rPr>
        <w:t>在現有委辦關係安排下收到</w:t>
      </w:r>
      <w:r w:rsidRPr="00BD5B02">
        <w:rPr>
          <w:rFonts w:hint="eastAsia"/>
          <w:szCs w:val="24"/>
        </w:rPr>
        <w:t>619,204</w:t>
      </w:r>
      <w:r w:rsidRPr="00BD5B02">
        <w:rPr>
          <w:rFonts w:hint="eastAsia"/>
          <w:szCs w:val="24"/>
        </w:rPr>
        <w:t>美元；</w:t>
      </w:r>
    </w:p>
    <w:p w14:paraId="3D31DA6F" w14:textId="77777777" w:rsidR="00BD5B02" w:rsidRPr="00BD5B02" w:rsidRDefault="00BD5B02" w:rsidP="00E60214">
      <w:pPr>
        <w:pStyle w:val="a3"/>
        <w:ind w:leftChars="413" w:left="991" w:firstLine="480"/>
        <w:jc w:val="both"/>
        <w:rPr>
          <w:rFonts w:hint="eastAsia"/>
          <w:szCs w:val="24"/>
        </w:rPr>
      </w:pPr>
      <w:r w:rsidRPr="00BD5B02">
        <w:rPr>
          <w:rFonts w:hint="eastAsia"/>
          <w:szCs w:val="24"/>
        </w:rPr>
        <w:t>(3)</w:t>
      </w:r>
      <w:r w:rsidRPr="00BD5B02">
        <w:rPr>
          <w:rFonts w:hint="eastAsia"/>
          <w:szCs w:val="24"/>
        </w:rPr>
        <w:tab/>
      </w:r>
      <w:r w:rsidRPr="00BD5B02">
        <w:rPr>
          <w:rFonts w:hint="eastAsia"/>
          <w:szCs w:val="24"/>
        </w:rPr>
        <w:t>在支持長期專題計畫收到</w:t>
      </w:r>
      <w:r w:rsidRPr="00BD5B02">
        <w:rPr>
          <w:rFonts w:hint="eastAsia"/>
          <w:szCs w:val="24"/>
        </w:rPr>
        <w:t>9,672,651</w:t>
      </w:r>
      <w:r w:rsidRPr="00BD5B02">
        <w:rPr>
          <w:rFonts w:hint="eastAsia"/>
          <w:szCs w:val="24"/>
        </w:rPr>
        <w:t>美元；</w:t>
      </w:r>
    </w:p>
    <w:p w14:paraId="3C959DFB" w14:textId="77777777" w:rsidR="00BD5B02" w:rsidRPr="00BD5B02" w:rsidRDefault="00BD5B02" w:rsidP="00E60214">
      <w:pPr>
        <w:pStyle w:val="a3"/>
        <w:ind w:leftChars="413" w:left="991" w:firstLine="480"/>
        <w:jc w:val="both"/>
        <w:rPr>
          <w:rFonts w:hint="eastAsia"/>
          <w:szCs w:val="24"/>
        </w:rPr>
      </w:pPr>
      <w:r w:rsidRPr="00BD5B02">
        <w:rPr>
          <w:rFonts w:hint="eastAsia"/>
          <w:szCs w:val="24"/>
        </w:rPr>
        <w:t>(4)</w:t>
      </w:r>
      <w:r w:rsidRPr="00BD5B02">
        <w:rPr>
          <w:rFonts w:hint="eastAsia"/>
          <w:szCs w:val="24"/>
        </w:rPr>
        <w:tab/>
      </w:r>
      <w:r w:rsidRPr="00BD5B02">
        <w:rPr>
          <w:rFonts w:hint="eastAsia"/>
          <w:szCs w:val="24"/>
        </w:rPr>
        <w:t>收到用於支持多方捐助信託基金活動的</w:t>
      </w:r>
      <w:r w:rsidRPr="00BD5B02">
        <w:rPr>
          <w:rFonts w:hint="eastAsia"/>
          <w:szCs w:val="24"/>
        </w:rPr>
        <w:t>2,695,663</w:t>
      </w:r>
      <w:r w:rsidRPr="00BD5B02">
        <w:rPr>
          <w:rFonts w:hint="eastAsia"/>
          <w:szCs w:val="24"/>
        </w:rPr>
        <w:t>美元；</w:t>
      </w:r>
    </w:p>
    <w:p w14:paraId="52DA6EDD" w14:textId="77777777" w:rsidR="00BD5B02" w:rsidRPr="00BD5B02" w:rsidRDefault="00BD5B02" w:rsidP="00E60214">
      <w:pPr>
        <w:pStyle w:val="a3"/>
        <w:ind w:leftChars="413" w:left="991" w:firstLine="480"/>
        <w:jc w:val="both"/>
        <w:rPr>
          <w:rFonts w:hint="eastAsia"/>
          <w:szCs w:val="24"/>
        </w:rPr>
      </w:pPr>
      <w:r w:rsidRPr="00BD5B02">
        <w:rPr>
          <w:rFonts w:hint="eastAsia"/>
          <w:szCs w:val="24"/>
        </w:rPr>
        <w:t>(5)</w:t>
      </w:r>
      <w:r w:rsidRPr="00BD5B02">
        <w:rPr>
          <w:rFonts w:hint="eastAsia"/>
          <w:szCs w:val="24"/>
        </w:rPr>
        <w:tab/>
      </w:r>
      <w:r w:rsidRPr="00BD5B02">
        <w:rPr>
          <w:rFonts w:hint="eastAsia"/>
          <w:szCs w:val="24"/>
        </w:rPr>
        <w:t>現金捐款</w:t>
      </w:r>
      <w:r w:rsidRPr="00BD5B02">
        <w:rPr>
          <w:rFonts w:hint="eastAsia"/>
          <w:szCs w:val="24"/>
        </w:rPr>
        <w:t>40,000</w:t>
      </w:r>
      <w:r w:rsidRPr="00BD5B02">
        <w:rPr>
          <w:rFonts w:hint="eastAsia"/>
          <w:szCs w:val="24"/>
        </w:rPr>
        <w:t>美元。</w:t>
      </w:r>
    </w:p>
    <w:p w14:paraId="3852591C" w14:textId="4E4308FC" w:rsidR="00BD5B02" w:rsidRDefault="00BD5B02" w:rsidP="00BD5B02">
      <w:pPr>
        <w:pStyle w:val="a3"/>
        <w:spacing w:line="360" w:lineRule="auto"/>
        <w:ind w:leftChars="0" w:left="960" w:firstLine="480"/>
        <w:jc w:val="both"/>
        <w:rPr>
          <w:szCs w:val="24"/>
        </w:rPr>
      </w:pPr>
      <w:r w:rsidRPr="00BD5B02">
        <w:rPr>
          <w:rFonts w:hint="eastAsia"/>
          <w:szCs w:val="24"/>
        </w:rPr>
        <w:t>委員會歡迎在</w:t>
      </w:r>
      <w:r w:rsidRPr="00BD5B02">
        <w:rPr>
          <w:rFonts w:hint="eastAsia"/>
          <w:szCs w:val="24"/>
        </w:rPr>
        <w:t>TC 74</w:t>
      </w:r>
      <w:r w:rsidRPr="00BD5B02">
        <w:rPr>
          <w:rFonts w:hint="eastAsia"/>
          <w:szCs w:val="24"/>
        </w:rPr>
        <w:t>期間宣佈的捐款：</w:t>
      </w:r>
    </w:p>
    <w:p w14:paraId="423F1875" w14:textId="77777777" w:rsidR="00BD5B02" w:rsidRPr="00B312E5" w:rsidRDefault="00BD5B02" w:rsidP="00EC3B38">
      <w:pPr>
        <w:pStyle w:val="a3"/>
        <w:numPr>
          <w:ilvl w:val="0"/>
          <w:numId w:val="5"/>
        </w:numPr>
        <w:ind w:leftChars="600" w:left="1920"/>
        <w:jc w:val="both"/>
        <w:rPr>
          <w:szCs w:val="24"/>
        </w:rPr>
      </w:pPr>
      <w:r w:rsidRPr="00B312E5">
        <w:rPr>
          <w:rFonts w:hint="eastAsia"/>
          <w:szCs w:val="24"/>
        </w:rPr>
        <w:t>丹麥認捐</w:t>
      </w:r>
      <w:r w:rsidRPr="00B312E5">
        <w:rPr>
          <w:rFonts w:hint="eastAsia"/>
          <w:szCs w:val="24"/>
        </w:rPr>
        <w:t>2</w:t>
      </w:r>
      <w:r>
        <w:rPr>
          <w:szCs w:val="24"/>
        </w:rPr>
        <w:t>,</w:t>
      </w:r>
      <w:r w:rsidRPr="00B312E5">
        <w:rPr>
          <w:rFonts w:hint="eastAsia"/>
          <w:szCs w:val="24"/>
        </w:rPr>
        <w:t>000</w:t>
      </w:r>
      <w:r w:rsidRPr="00B312E5">
        <w:rPr>
          <w:rFonts w:hint="eastAsia"/>
          <w:szCs w:val="24"/>
        </w:rPr>
        <w:t>萬丹麥克朗</w:t>
      </w:r>
      <w:r w:rsidRPr="00B312E5">
        <w:rPr>
          <w:rFonts w:hint="eastAsia"/>
          <w:szCs w:val="24"/>
        </w:rPr>
        <w:t>(</w:t>
      </w:r>
      <w:r w:rsidRPr="00B312E5">
        <w:rPr>
          <w:rFonts w:hint="eastAsia"/>
          <w:szCs w:val="24"/>
        </w:rPr>
        <w:t>約為</w:t>
      </w:r>
      <w:r w:rsidRPr="00B312E5">
        <w:rPr>
          <w:rFonts w:hint="eastAsia"/>
          <w:szCs w:val="24"/>
        </w:rPr>
        <w:t>300</w:t>
      </w:r>
      <w:r w:rsidRPr="00B312E5">
        <w:rPr>
          <w:rFonts w:hint="eastAsia"/>
          <w:szCs w:val="24"/>
        </w:rPr>
        <w:t>萬美元</w:t>
      </w:r>
      <w:r w:rsidRPr="00B312E5">
        <w:rPr>
          <w:rFonts w:hint="eastAsia"/>
          <w:szCs w:val="24"/>
        </w:rPr>
        <w:t>)</w:t>
      </w:r>
      <w:r w:rsidRPr="00B312E5">
        <w:rPr>
          <w:rFonts w:hint="eastAsia"/>
          <w:szCs w:val="24"/>
        </w:rPr>
        <w:t>，用於未來幾年透過溫室氣體技術合作信託基金支持發展中國家；</w:t>
      </w:r>
    </w:p>
    <w:p w14:paraId="099A200B" w14:textId="77777777" w:rsidR="00BD5B02" w:rsidRPr="00B312E5" w:rsidRDefault="00BD5B02" w:rsidP="00E60214">
      <w:pPr>
        <w:pStyle w:val="a3"/>
        <w:ind w:leftChars="600" w:left="1916" w:hanging="476"/>
        <w:jc w:val="both"/>
        <w:rPr>
          <w:szCs w:val="24"/>
        </w:rPr>
      </w:pPr>
      <w:r w:rsidRPr="00B312E5">
        <w:rPr>
          <w:rFonts w:hint="eastAsia"/>
          <w:szCs w:val="24"/>
        </w:rPr>
        <w:t>(2)</w:t>
      </w:r>
      <w:r w:rsidRPr="00B312E5">
        <w:rPr>
          <w:rFonts w:hint="eastAsia"/>
          <w:szCs w:val="24"/>
        </w:rPr>
        <w:tab/>
      </w:r>
      <w:r w:rsidRPr="00B312E5">
        <w:rPr>
          <w:rFonts w:hint="eastAsia"/>
          <w:szCs w:val="24"/>
        </w:rPr>
        <w:t>挪威認捐</w:t>
      </w:r>
      <w:r w:rsidRPr="00B312E5">
        <w:rPr>
          <w:rFonts w:hint="eastAsia"/>
          <w:szCs w:val="24"/>
        </w:rPr>
        <w:t>100</w:t>
      </w:r>
      <w:r w:rsidRPr="00B312E5">
        <w:rPr>
          <w:rFonts w:hint="eastAsia"/>
          <w:szCs w:val="24"/>
        </w:rPr>
        <w:t>萬挪威克朗</w:t>
      </w:r>
      <w:r w:rsidRPr="00B312E5">
        <w:rPr>
          <w:rFonts w:hint="eastAsia"/>
          <w:szCs w:val="24"/>
        </w:rPr>
        <w:t>(</w:t>
      </w:r>
      <w:r w:rsidRPr="00B312E5">
        <w:rPr>
          <w:rFonts w:hint="eastAsia"/>
          <w:szCs w:val="24"/>
        </w:rPr>
        <w:t>約為</w:t>
      </w:r>
      <w:r w:rsidRPr="00B312E5">
        <w:rPr>
          <w:rFonts w:hint="eastAsia"/>
          <w:szCs w:val="24"/>
        </w:rPr>
        <w:t>95,000</w:t>
      </w:r>
      <w:r w:rsidRPr="00B312E5">
        <w:rPr>
          <w:rFonts w:hint="eastAsia"/>
          <w:szCs w:val="24"/>
        </w:rPr>
        <w:t>美元</w:t>
      </w:r>
      <w:r w:rsidRPr="00B312E5">
        <w:rPr>
          <w:rFonts w:hint="eastAsia"/>
          <w:szCs w:val="24"/>
        </w:rPr>
        <w:t>)</w:t>
      </w:r>
      <w:r w:rsidRPr="00B312E5">
        <w:rPr>
          <w:rFonts w:hint="eastAsia"/>
          <w:szCs w:val="24"/>
        </w:rPr>
        <w:t>，用於支持國際海事組織技術合作計畫。</w:t>
      </w:r>
    </w:p>
    <w:p w14:paraId="7CBC9C76" w14:textId="455B1192" w:rsidR="00BD5B02" w:rsidRPr="00BD5B02" w:rsidRDefault="00BD5B02" w:rsidP="00542EAD">
      <w:pPr>
        <w:pStyle w:val="a3"/>
        <w:spacing w:line="360" w:lineRule="auto"/>
        <w:ind w:leftChars="0" w:left="960" w:firstLine="476"/>
        <w:jc w:val="both"/>
        <w:rPr>
          <w:rFonts w:hint="eastAsia"/>
          <w:szCs w:val="24"/>
        </w:rPr>
      </w:pPr>
      <w:r w:rsidRPr="00B312E5">
        <w:rPr>
          <w:rFonts w:hint="eastAsia"/>
          <w:szCs w:val="24"/>
        </w:rPr>
        <w:t>委員會對所有捐款表達感謝，並鼓勵會員國、政府間組織、非政府</w:t>
      </w:r>
      <w:r w:rsidRPr="00B312E5">
        <w:rPr>
          <w:rFonts w:hint="eastAsia"/>
          <w:szCs w:val="24"/>
        </w:rPr>
        <w:lastRenderedPageBreak/>
        <w:t>組織和業界繼續支持這些活動和計畫。</w:t>
      </w:r>
    </w:p>
    <w:p w14:paraId="53170404" w14:textId="0D25D528" w:rsidR="00514EB2" w:rsidRPr="000835F4" w:rsidRDefault="005D7D5B" w:rsidP="00EC3B38">
      <w:pPr>
        <w:pStyle w:val="a3"/>
        <w:numPr>
          <w:ilvl w:val="0"/>
          <w:numId w:val="2"/>
        </w:numPr>
        <w:ind w:leftChars="0" w:left="964" w:hanging="482"/>
        <w:jc w:val="both"/>
        <w:rPr>
          <w:rFonts w:cs="Times New Roman"/>
          <w:b/>
          <w:szCs w:val="24"/>
        </w:rPr>
      </w:pPr>
      <w:r w:rsidRPr="005D7D5B">
        <w:rPr>
          <w:rFonts w:cs="Times New Roman" w:hint="eastAsia"/>
          <w:b/>
          <w:szCs w:val="24"/>
        </w:rPr>
        <w:t>國際海事組織能力建設戰略的進展情況</w:t>
      </w:r>
      <w:r w:rsidRPr="005D7D5B">
        <w:rPr>
          <w:rFonts w:cs="Times New Roman" w:hint="eastAsia"/>
          <w:b/>
          <w:szCs w:val="24"/>
        </w:rPr>
        <w:t>(</w:t>
      </w:r>
      <w:r w:rsidRPr="005D7D5B">
        <w:rPr>
          <w:rFonts w:cs="Times New Roman" w:hint="eastAsia"/>
          <w:b/>
          <w:szCs w:val="24"/>
        </w:rPr>
        <w:t>議程</w:t>
      </w:r>
      <w:r w:rsidRPr="005D7D5B">
        <w:rPr>
          <w:rFonts w:cs="Times New Roman" w:hint="eastAsia"/>
          <w:b/>
          <w:szCs w:val="24"/>
        </w:rPr>
        <w:t>6)</w:t>
      </w:r>
    </w:p>
    <w:p w14:paraId="45C4B608" w14:textId="77777777" w:rsidR="005D7D5B" w:rsidRDefault="005D7D5B" w:rsidP="005D7D5B">
      <w:pPr>
        <w:ind w:left="960" w:firstLine="480"/>
      </w:pPr>
      <w:bookmarkStart w:id="4" w:name="OLE_LINK22"/>
      <w:bookmarkStart w:id="5" w:name="OLE_LINK23"/>
      <w:bookmarkEnd w:id="3"/>
      <w:r w:rsidRPr="005D7D5B">
        <w:rPr>
          <w:rFonts w:hint="eastAsia"/>
        </w:rPr>
        <w:t>委員會在最終確定經修訂之國際海事組織提供技術援助綜合戰略的工作取得進展。經修訂的綜合戰略草案將現有的《</w:t>
      </w:r>
      <w:r w:rsidRPr="005D7D5B">
        <w:rPr>
          <w:rFonts w:hint="eastAsia"/>
        </w:rPr>
        <w:t>2021-2030</w:t>
      </w:r>
      <w:r w:rsidRPr="005D7D5B">
        <w:rPr>
          <w:rFonts w:hint="eastAsia"/>
        </w:rPr>
        <w:t>年能力建設十年戰略》</w:t>
      </w:r>
      <w:r w:rsidRPr="005D7D5B">
        <w:rPr>
          <w:rFonts w:hint="eastAsia"/>
        </w:rPr>
        <w:t>(Capacity-Building Decade 2021-2030 Strategy)</w:t>
      </w:r>
      <w:r w:rsidRPr="005D7D5B">
        <w:rPr>
          <w:rFonts w:hint="eastAsia"/>
        </w:rPr>
        <w:t>與《綜合技術合作計畫</w:t>
      </w:r>
      <w:r w:rsidRPr="005D7D5B">
        <w:rPr>
          <w:rFonts w:hint="eastAsia"/>
        </w:rPr>
        <w:t>(ITCP)</w:t>
      </w:r>
      <w:r w:rsidRPr="005D7D5B">
        <w:rPr>
          <w:rFonts w:hint="eastAsia"/>
        </w:rPr>
        <w:t>長期融資策略》</w:t>
      </w:r>
      <w:r w:rsidRPr="005D7D5B">
        <w:rPr>
          <w:rFonts w:hint="eastAsia"/>
        </w:rPr>
        <w:t xml:space="preserve">(Strategy for the long-term financing of the Integrated Technical Cooperation </w:t>
      </w:r>
      <w:proofErr w:type="spellStart"/>
      <w:r w:rsidRPr="005D7D5B">
        <w:rPr>
          <w:rFonts w:hint="eastAsia"/>
        </w:rPr>
        <w:t>Programme</w:t>
      </w:r>
      <w:proofErr w:type="spellEnd"/>
      <w:r w:rsidRPr="005D7D5B">
        <w:rPr>
          <w:rFonts w:hint="eastAsia"/>
        </w:rPr>
        <w:t>)</w:t>
      </w:r>
      <w:r w:rsidRPr="005D7D5B">
        <w:rPr>
          <w:rFonts w:hint="eastAsia"/>
        </w:rPr>
        <w:t>及《國際海事組織技術合作活動資源調動策略》</w:t>
      </w:r>
      <w:r w:rsidRPr="005D7D5B">
        <w:rPr>
          <w:rFonts w:hint="eastAsia"/>
        </w:rPr>
        <w:t>(Strategy for resource mobilization for IMO's technical cooperation (TC) activities)</w:t>
      </w:r>
      <w:r w:rsidRPr="005D7D5B">
        <w:rPr>
          <w:rFonts w:hint="eastAsia"/>
        </w:rPr>
        <w:t>整合在一起。</w:t>
      </w:r>
      <w:proofErr w:type="gramStart"/>
      <w:r w:rsidRPr="005D7D5B">
        <w:rPr>
          <w:rFonts w:hint="eastAsia"/>
        </w:rPr>
        <w:t>此外，</w:t>
      </w:r>
      <w:proofErr w:type="gramEnd"/>
      <w:r w:rsidRPr="005D7D5B">
        <w:rPr>
          <w:rFonts w:hint="eastAsia"/>
        </w:rPr>
        <w:t>其中也包含名為《全員參與》</w:t>
      </w:r>
      <w:r w:rsidRPr="005D7D5B">
        <w:rPr>
          <w:rFonts w:hint="eastAsia"/>
        </w:rPr>
        <w:t>(All Hands on Deck)</w:t>
      </w:r>
      <w:r w:rsidRPr="005D7D5B">
        <w:rPr>
          <w:rFonts w:hint="eastAsia"/>
        </w:rPr>
        <w:t>的資訊小手冊。</w:t>
      </w:r>
    </w:p>
    <w:p w14:paraId="7AE52F78" w14:textId="51BDD4FF" w:rsidR="00542EAD" w:rsidRDefault="005D7D5B" w:rsidP="005D7D5B">
      <w:pPr>
        <w:ind w:left="960" w:firstLine="480"/>
        <w:rPr>
          <w:rFonts w:cs="Times New Roman" w:hint="eastAsia"/>
        </w:rPr>
      </w:pPr>
      <w:r w:rsidRPr="005D7D5B">
        <w:rPr>
          <w:rFonts w:cs="Times New Roman" w:hint="eastAsia"/>
        </w:rPr>
        <w:t>委員會批准了文件的新標題</w:t>
      </w:r>
      <w:r w:rsidRPr="005D7D5B">
        <w:rPr>
          <w:rFonts w:cs="Times New Roman" w:hint="eastAsia"/>
        </w:rPr>
        <w:t>(</w:t>
      </w:r>
      <w:r w:rsidRPr="005D7D5B">
        <w:rPr>
          <w:rFonts w:cs="Times New Roman" w:hint="eastAsia"/>
        </w:rPr>
        <w:t>「國際海事組織能力建設戰略」</w:t>
      </w:r>
      <w:r w:rsidRPr="005D7D5B">
        <w:rPr>
          <w:rFonts w:cs="Times New Roman" w:hint="eastAsia"/>
        </w:rPr>
        <w:t>)</w:t>
      </w:r>
      <w:r w:rsidRPr="005D7D5B">
        <w:rPr>
          <w:rFonts w:cs="Times New Roman" w:hint="eastAsia"/>
        </w:rPr>
        <w:t>和架構。委員會上設立了一個工作小組負責審議該戰略的目標、議題優先事項、資源調動以及監測和評估等項目。委員會亦成立了一個通訊小組，進一步制定和完善該戰略草案，以期在下一屆委員會</w:t>
      </w:r>
      <w:r w:rsidRPr="005D7D5B">
        <w:rPr>
          <w:rFonts w:cs="Times New Roman" w:hint="eastAsia"/>
        </w:rPr>
        <w:t>(TC 75)</w:t>
      </w:r>
      <w:r w:rsidRPr="005D7D5B">
        <w:rPr>
          <w:rFonts w:cs="Times New Roman" w:hint="eastAsia"/>
        </w:rPr>
        <w:t>上完成這項工作。</w:t>
      </w:r>
    </w:p>
    <w:p w14:paraId="505155D2" w14:textId="77777777" w:rsidR="009658A3" w:rsidRPr="009658A3" w:rsidRDefault="009658A3" w:rsidP="00EC3B38">
      <w:pPr>
        <w:pStyle w:val="a3"/>
        <w:numPr>
          <w:ilvl w:val="0"/>
          <w:numId w:val="2"/>
        </w:numPr>
        <w:ind w:leftChars="0" w:left="964" w:hanging="482"/>
        <w:jc w:val="both"/>
        <w:rPr>
          <w:rFonts w:cs="Times New Roman"/>
          <w:b/>
          <w:szCs w:val="24"/>
        </w:rPr>
      </w:pPr>
      <w:r w:rsidRPr="009658A3">
        <w:rPr>
          <w:rFonts w:cs="Times New Roman" w:hint="eastAsia"/>
          <w:b/>
          <w:szCs w:val="24"/>
        </w:rPr>
        <w:t>制定電子學習實施計畫</w:t>
      </w:r>
      <w:r w:rsidRPr="009658A3">
        <w:rPr>
          <w:rFonts w:cs="Times New Roman" w:hint="eastAsia"/>
          <w:b/>
          <w:szCs w:val="24"/>
        </w:rPr>
        <w:t>(</w:t>
      </w:r>
      <w:r w:rsidRPr="009658A3">
        <w:rPr>
          <w:rFonts w:cs="Times New Roman" w:hint="eastAsia"/>
          <w:b/>
          <w:szCs w:val="24"/>
        </w:rPr>
        <w:t>議程</w:t>
      </w:r>
      <w:r w:rsidRPr="009658A3">
        <w:rPr>
          <w:rFonts w:cs="Times New Roman" w:hint="eastAsia"/>
          <w:b/>
          <w:szCs w:val="24"/>
        </w:rPr>
        <w:t>6)</w:t>
      </w:r>
    </w:p>
    <w:p w14:paraId="3DC19B7C" w14:textId="77777777" w:rsidR="009658A3" w:rsidRPr="009658A3" w:rsidRDefault="009658A3" w:rsidP="009658A3">
      <w:pPr>
        <w:ind w:left="960" w:firstLine="480"/>
        <w:rPr>
          <w:rFonts w:cs="Times New Roman" w:hint="eastAsia"/>
        </w:rPr>
      </w:pPr>
      <w:r w:rsidRPr="009658A3">
        <w:rPr>
          <w:rFonts w:cs="Times New Roman" w:hint="eastAsia"/>
        </w:rPr>
        <w:t>委員會討論了利用電子學習課程和「混合學習」方法作為發展國際海事組織會員國能力的創新、高品質且具成本效益的方式。委員會同意繼續制定《國際海事組織電子學習實施計畫》</w:t>
      </w:r>
      <w:r w:rsidRPr="009658A3">
        <w:rPr>
          <w:rFonts w:cs="Times New Roman" w:hint="eastAsia"/>
        </w:rPr>
        <w:t>(IMO e-learning Implementation Plan)</w:t>
      </w:r>
      <w:r w:rsidRPr="009658A3">
        <w:rPr>
          <w:rFonts w:cs="Times New Roman" w:hint="eastAsia"/>
        </w:rPr>
        <w:t>，並同意有必要採取整體方法，確定電子學習課程開發的優先次序和選擇。</w:t>
      </w:r>
    </w:p>
    <w:p w14:paraId="74CC0E0E" w14:textId="7AA114FF" w:rsidR="00542EAD" w:rsidRDefault="009658A3" w:rsidP="009658A3">
      <w:pPr>
        <w:ind w:left="960" w:firstLine="480"/>
        <w:rPr>
          <w:rFonts w:cs="Times New Roman" w:hint="eastAsia"/>
        </w:rPr>
      </w:pPr>
      <w:r w:rsidRPr="009658A3">
        <w:rPr>
          <w:rFonts w:cs="Times New Roman" w:hint="eastAsia"/>
        </w:rPr>
        <w:t>委員會成立了一個通訊小組，以進一步制定實施計畫，並就通過和批准的載體提供建議，再向</w:t>
      </w:r>
      <w:r w:rsidRPr="009658A3">
        <w:rPr>
          <w:rFonts w:cs="Times New Roman" w:hint="eastAsia"/>
        </w:rPr>
        <w:t>TC 75</w:t>
      </w:r>
      <w:r w:rsidRPr="009658A3">
        <w:rPr>
          <w:rFonts w:cs="Times New Roman" w:hint="eastAsia"/>
        </w:rPr>
        <w:t>報告。</w:t>
      </w:r>
      <w:proofErr w:type="gramStart"/>
      <w:r w:rsidRPr="009658A3">
        <w:rPr>
          <w:rFonts w:cs="Times New Roman" w:hint="eastAsia"/>
        </w:rPr>
        <w:t>此外，</w:t>
      </w:r>
      <w:proofErr w:type="gramEnd"/>
      <w:r w:rsidRPr="009658A3">
        <w:rPr>
          <w:rFonts w:cs="Times New Roman" w:hint="eastAsia"/>
        </w:rPr>
        <w:t>委員會決定在一項產出下討論與訓練和發展有關的所有事項，包括電子學習。在此方面，委員會要求秘書處就擴大「全球海事訓練機構」的現有產出提出建議，並提交</w:t>
      </w:r>
      <w:r w:rsidRPr="009658A3">
        <w:rPr>
          <w:rFonts w:cs="Times New Roman" w:hint="eastAsia"/>
        </w:rPr>
        <w:t>TC 75</w:t>
      </w:r>
      <w:r w:rsidRPr="009658A3">
        <w:rPr>
          <w:rFonts w:cs="Times New Roman" w:hint="eastAsia"/>
        </w:rPr>
        <w:t>批准。</w:t>
      </w:r>
    </w:p>
    <w:p w14:paraId="07254107" w14:textId="27DF405C" w:rsidR="00E300CC" w:rsidRDefault="00E300CC" w:rsidP="00EC3B38">
      <w:pPr>
        <w:pStyle w:val="a3"/>
        <w:numPr>
          <w:ilvl w:val="0"/>
          <w:numId w:val="2"/>
        </w:numPr>
        <w:ind w:leftChars="0" w:left="964" w:hanging="482"/>
        <w:jc w:val="both"/>
        <w:rPr>
          <w:rFonts w:cs="Times New Roman"/>
          <w:b/>
          <w:szCs w:val="24"/>
        </w:rPr>
      </w:pPr>
      <w:r w:rsidRPr="00E300CC">
        <w:rPr>
          <w:rFonts w:cs="Times New Roman" w:hint="eastAsia"/>
          <w:b/>
          <w:szCs w:val="24"/>
        </w:rPr>
        <w:t>擴展國際海事組織區域駐點</w:t>
      </w:r>
      <w:r w:rsidRPr="00E300CC">
        <w:rPr>
          <w:rFonts w:cs="Times New Roman" w:hint="eastAsia"/>
          <w:b/>
          <w:szCs w:val="24"/>
        </w:rPr>
        <w:t>(</w:t>
      </w:r>
      <w:r w:rsidRPr="00E300CC">
        <w:rPr>
          <w:rFonts w:cs="Times New Roman" w:hint="eastAsia"/>
          <w:b/>
          <w:szCs w:val="24"/>
        </w:rPr>
        <w:t>議程</w:t>
      </w:r>
      <w:r w:rsidRPr="00E300CC">
        <w:rPr>
          <w:rFonts w:cs="Times New Roman" w:hint="eastAsia"/>
          <w:b/>
          <w:szCs w:val="24"/>
        </w:rPr>
        <w:t>7)</w:t>
      </w:r>
    </w:p>
    <w:p w14:paraId="20B16122" w14:textId="77777777" w:rsidR="00130BF3" w:rsidRPr="00130BF3" w:rsidRDefault="00130BF3" w:rsidP="00130BF3">
      <w:pPr>
        <w:ind w:left="960" w:firstLine="480"/>
        <w:rPr>
          <w:rFonts w:cs="Times New Roman" w:hint="eastAsia"/>
        </w:rPr>
      </w:pPr>
      <w:r w:rsidRPr="00130BF3">
        <w:rPr>
          <w:rFonts w:cs="Times New Roman" w:hint="eastAsia"/>
        </w:rPr>
        <w:t>委員會注意到在擴展</w:t>
      </w:r>
      <w:r w:rsidRPr="00130BF3">
        <w:rPr>
          <w:rFonts w:cs="Times New Roman" w:hint="eastAsia"/>
        </w:rPr>
        <w:t>IMO</w:t>
      </w:r>
      <w:r w:rsidRPr="00130BF3">
        <w:rPr>
          <w:rFonts w:cs="Times New Roman" w:hint="eastAsia"/>
        </w:rPr>
        <w:t>區域駐點計畫</w:t>
      </w:r>
      <w:r w:rsidRPr="00130BF3">
        <w:rPr>
          <w:rFonts w:cs="Times New Roman" w:hint="eastAsia"/>
        </w:rPr>
        <w:t>(IMO Regional Presence Scheme)</w:t>
      </w:r>
      <w:r w:rsidRPr="00130BF3">
        <w:rPr>
          <w:rFonts w:cs="Times New Roman" w:hint="eastAsia"/>
        </w:rPr>
        <w:t>上所取得的進展，該計畫旨在確保技術合作活動的基層實施，促進全球計畫，並擴大</w:t>
      </w:r>
      <w:r w:rsidRPr="00130BF3">
        <w:rPr>
          <w:rFonts w:cs="Times New Roman" w:hint="eastAsia"/>
        </w:rPr>
        <w:t>IMO</w:t>
      </w:r>
      <w:r w:rsidRPr="00130BF3">
        <w:rPr>
          <w:rFonts w:cs="Times New Roman" w:hint="eastAsia"/>
        </w:rPr>
        <w:t>的影響力範圍。</w:t>
      </w:r>
    </w:p>
    <w:p w14:paraId="4FE806A7" w14:textId="77777777" w:rsidR="00130BF3" w:rsidRPr="00130BF3" w:rsidRDefault="00130BF3" w:rsidP="00130BF3">
      <w:pPr>
        <w:ind w:left="960" w:firstLine="480"/>
        <w:rPr>
          <w:rFonts w:cs="Times New Roman" w:hint="eastAsia"/>
        </w:rPr>
      </w:pPr>
      <w:r w:rsidRPr="00130BF3">
        <w:rPr>
          <w:rFonts w:cs="Times New Roman" w:hint="eastAsia"/>
        </w:rPr>
        <w:t>除了在象牙海岸、</w:t>
      </w:r>
      <w:proofErr w:type="gramStart"/>
      <w:r w:rsidRPr="00130BF3">
        <w:rPr>
          <w:rFonts w:cs="Times New Roman" w:hint="eastAsia"/>
        </w:rPr>
        <w:t>迦</w:t>
      </w:r>
      <w:proofErr w:type="gramEnd"/>
      <w:r w:rsidRPr="00130BF3">
        <w:rPr>
          <w:rFonts w:cs="Times New Roman" w:hint="eastAsia"/>
        </w:rPr>
        <w:t>納、肯亞和菲律賓運作的</w:t>
      </w:r>
      <w:r w:rsidRPr="00130BF3">
        <w:rPr>
          <w:rFonts w:cs="Times New Roman" w:hint="eastAsia"/>
        </w:rPr>
        <w:t>4</w:t>
      </w:r>
      <w:r w:rsidRPr="00130BF3">
        <w:rPr>
          <w:rFonts w:cs="Times New Roman" w:hint="eastAsia"/>
        </w:rPr>
        <w:t>個區域駐點辦事處</w:t>
      </w:r>
      <w:r w:rsidRPr="00130BF3">
        <w:rPr>
          <w:rFonts w:cs="Times New Roman" w:hint="eastAsia"/>
        </w:rPr>
        <w:t>(Regional Presence Offices, RPOs)</w:t>
      </w:r>
      <w:r w:rsidRPr="00130BF3">
        <w:rPr>
          <w:rFonts w:cs="Times New Roman" w:hint="eastAsia"/>
        </w:rPr>
        <w:t>外，委員會還聽取了在千里達及托巴哥、埃及和斐濟新設立的區域駐點辦事處的最新進展。</w:t>
      </w:r>
    </w:p>
    <w:p w14:paraId="13542271" w14:textId="77777777" w:rsidR="00130BF3" w:rsidRPr="00130BF3" w:rsidRDefault="00130BF3" w:rsidP="00130BF3">
      <w:pPr>
        <w:ind w:left="960" w:firstLine="480"/>
        <w:rPr>
          <w:rFonts w:cs="Times New Roman" w:hint="eastAsia"/>
        </w:rPr>
      </w:pPr>
      <w:r w:rsidRPr="00130BF3">
        <w:rPr>
          <w:rFonts w:cs="Times New Roman" w:hint="eastAsia"/>
        </w:rPr>
        <w:lastRenderedPageBreak/>
        <w:t>在千里達及托巴哥的西班牙港，加勒比區域海事顧問辦公室</w:t>
      </w:r>
      <w:r w:rsidRPr="00130BF3">
        <w:rPr>
          <w:rFonts w:cs="Times New Roman" w:hint="eastAsia"/>
        </w:rPr>
        <w:t>(Office of the regional maritime adviser (RMA))</w:t>
      </w:r>
      <w:r w:rsidRPr="00130BF3">
        <w:rPr>
          <w:rFonts w:cs="Times New Roman" w:hint="eastAsia"/>
        </w:rPr>
        <w:t>於</w:t>
      </w:r>
      <w:r w:rsidRPr="00130BF3">
        <w:rPr>
          <w:rFonts w:cs="Times New Roman" w:hint="eastAsia"/>
        </w:rPr>
        <w:t>2023</w:t>
      </w:r>
      <w:r w:rsidRPr="00130BF3">
        <w:rPr>
          <w:rFonts w:cs="Times New Roman" w:hint="eastAsia"/>
        </w:rPr>
        <w:t>年</w:t>
      </w:r>
      <w:r w:rsidRPr="00130BF3">
        <w:rPr>
          <w:rFonts w:cs="Times New Roman" w:hint="eastAsia"/>
        </w:rPr>
        <w:t>7</w:t>
      </w:r>
      <w:r w:rsidRPr="00130BF3">
        <w:rPr>
          <w:rFonts w:cs="Times New Roman" w:hint="eastAsia"/>
        </w:rPr>
        <w:t>月升格為區域駐點辦事處，區域協調員召募的工作正在進行中。</w:t>
      </w:r>
    </w:p>
    <w:p w14:paraId="1DBA0080" w14:textId="77777777" w:rsidR="00130BF3" w:rsidRPr="00130BF3" w:rsidRDefault="00130BF3" w:rsidP="00130BF3">
      <w:pPr>
        <w:ind w:left="960" w:firstLine="480"/>
        <w:rPr>
          <w:rFonts w:cs="Times New Roman" w:hint="eastAsia"/>
        </w:rPr>
      </w:pPr>
      <w:r w:rsidRPr="00130BF3">
        <w:rPr>
          <w:rFonts w:cs="Times New Roman" w:hint="eastAsia"/>
        </w:rPr>
        <w:t>IMO</w:t>
      </w:r>
      <w:r w:rsidRPr="00130BF3">
        <w:rPr>
          <w:rFonts w:cs="Times New Roman" w:hint="eastAsia"/>
        </w:rPr>
        <w:t>秘書長預計將於</w:t>
      </w:r>
      <w:r w:rsidRPr="00130BF3">
        <w:rPr>
          <w:rFonts w:cs="Times New Roman" w:hint="eastAsia"/>
        </w:rPr>
        <w:t>2025</w:t>
      </w:r>
      <w:r w:rsidRPr="00130BF3">
        <w:rPr>
          <w:rFonts w:cs="Times New Roman" w:hint="eastAsia"/>
        </w:rPr>
        <w:t>年上半年在埃及亞歷山大為中東和北非地區</w:t>
      </w:r>
      <w:r w:rsidRPr="00130BF3">
        <w:rPr>
          <w:rFonts w:cs="Times New Roman" w:hint="eastAsia"/>
        </w:rPr>
        <w:t>(Middle East and North Africa, MENA)</w:t>
      </w:r>
      <w:r w:rsidRPr="00130BF3">
        <w:rPr>
          <w:rFonts w:cs="Times New Roman" w:hint="eastAsia"/>
        </w:rPr>
        <w:t>的阿拉伯國家設立區域駐點辦事處。在</w:t>
      </w:r>
      <w:r w:rsidRPr="00130BF3">
        <w:rPr>
          <w:rFonts w:cs="Times New Roman" w:hint="eastAsia"/>
        </w:rPr>
        <w:t>IMO</w:t>
      </w:r>
      <w:r w:rsidRPr="00130BF3">
        <w:rPr>
          <w:rFonts w:cs="Times New Roman" w:hint="eastAsia"/>
        </w:rPr>
        <w:t>與斐濟於</w:t>
      </w:r>
      <w:r w:rsidRPr="00130BF3">
        <w:rPr>
          <w:rFonts w:cs="Times New Roman" w:hint="eastAsia"/>
        </w:rPr>
        <w:t>2024</w:t>
      </w:r>
      <w:r w:rsidRPr="00130BF3">
        <w:rPr>
          <w:rFonts w:cs="Times New Roman" w:hint="eastAsia"/>
        </w:rPr>
        <w:t>年</w:t>
      </w:r>
      <w:r w:rsidRPr="00130BF3">
        <w:rPr>
          <w:rFonts w:cs="Times New Roman" w:hint="eastAsia"/>
        </w:rPr>
        <w:t>3</w:t>
      </w:r>
      <w:r w:rsidRPr="00130BF3">
        <w:rPr>
          <w:rFonts w:cs="Times New Roman" w:hint="eastAsia"/>
        </w:rPr>
        <w:t>月簽署諒解備忘錄後，設立在斐濟蘇瓦的太平洋區域駐點辦事處預計將在</w:t>
      </w:r>
      <w:r w:rsidRPr="00130BF3">
        <w:rPr>
          <w:rFonts w:cs="Times New Roman" w:hint="eastAsia"/>
        </w:rPr>
        <w:t>2024</w:t>
      </w:r>
      <w:r w:rsidRPr="00130BF3">
        <w:rPr>
          <w:rFonts w:cs="Times New Roman" w:hint="eastAsia"/>
        </w:rPr>
        <w:t>年底開始運作。</w:t>
      </w:r>
    </w:p>
    <w:p w14:paraId="03B1F1DD" w14:textId="77777777" w:rsidR="00130BF3" w:rsidRPr="00130BF3" w:rsidRDefault="00130BF3" w:rsidP="00130BF3">
      <w:pPr>
        <w:ind w:left="960" w:firstLine="480"/>
        <w:rPr>
          <w:rFonts w:cs="Times New Roman" w:hint="eastAsia"/>
        </w:rPr>
      </w:pPr>
      <w:r w:rsidRPr="00130BF3">
        <w:rPr>
          <w:rFonts w:cs="Times New Roman" w:hint="eastAsia"/>
        </w:rPr>
        <w:t>委員會鼓勵在區域層級討論在目前尚未有區域駐點辦事處的區域進一步推展區域駐點計畫。</w:t>
      </w:r>
      <w:proofErr w:type="gramStart"/>
      <w:r w:rsidRPr="00130BF3">
        <w:rPr>
          <w:rFonts w:cs="Times New Roman" w:hint="eastAsia"/>
        </w:rPr>
        <w:t>此外，</w:t>
      </w:r>
      <w:proofErr w:type="gramEnd"/>
      <w:r w:rsidRPr="00130BF3">
        <w:rPr>
          <w:rFonts w:cs="Times New Roman" w:hint="eastAsia"/>
        </w:rPr>
        <w:t>委員會亦請秘書處全面審查區域駐點辦事處的性質，包括任務、資源調動和部署能力以及組織結構，應涵蓋多面向，以確保其有充足的資源來實現</w:t>
      </w:r>
      <w:r w:rsidRPr="00130BF3">
        <w:rPr>
          <w:rFonts w:cs="Times New Roman" w:hint="eastAsia"/>
        </w:rPr>
        <w:t>IMO</w:t>
      </w:r>
      <w:r w:rsidRPr="00130BF3">
        <w:rPr>
          <w:rFonts w:cs="Times New Roman" w:hint="eastAsia"/>
        </w:rPr>
        <w:t>能力建設戰略。</w:t>
      </w:r>
    </w:p>
    <w:p w14:paraId="3AB4C18B" w14:textId="5C986A13" w:rsidR="00130BF3" w:rsidRPr="00130BF3" w:rsidRDefault="00130BF3" w:rsidP="00130BF3">
      <w:pPr>
        <w:ind w:left="960" w:firstLine="480"/>
        <w:rPr>
          <w:rFonts w:cs="Times New Roman" w:hint="eastAsia"/>
        </w:rPr>
      </w:pPr>
      <w:r w:rsidRPr="00130BF3">
        <w:rPr>
          <w:rFonts w:cs="Times New Roman" w:hint="eastAsia"/>
        </w:rPr>
        <w:t>委員會邀請會員國和觀察員就在非洲</w:t>
      </w:r>
      <w:r w:rsidRPr="00130BF3">
        <w:rPr>
          <w:rFonts w:cs="Times New Roman" w:hint="eastAsia"/>
        </w:rPr>
        <w:t>4</w:t>
      </w:r>
      <w:r w:rsidRPr="00130BF3">
        <w:rPr>
          <w:rFonts w:cs="Times New Roman" w:hint="eastAsia"/>
        </w:rPr>
        <w:t>個區域駐點辦事處之一展開示範性</w:t>
      </w:r>
      <w:r w:rsidRPr="00130BF3">
        <w:rPr>
          <w:rFonts w:cs="Times New Roman" w:hint="eastAsia"/>
        </w:rPr>
        <w:t>IMO</w:t>
      </w:r>
      <w:r w:rsidRPr="00130BF3">
        <w:rPr>
          <w:rFonts w:cs="Times New Roman" w:hint="eastAsia"/>
        </w:rPr>
        <w:t>區域駐點辦事處先導計劃提交建議。</w:t>
      </w:r>
    </w:p>
    <w:p w14:paraId="2B291D66" w14:textId="1C1B5C94" w:rsidR="00512707" w:rsidRDefault="00512707" w:rsidP="00EC3B38">
      <w:pPr>
        <w:pStyle w:val="a3"/>
        <w:numPr>
          <w:ilvl w:val="0"/>
          <w:numId w:val="2"/>
        </w:numPr>
        <w:ind w:leftChars="0"/>
        <w:rPr>
          <w:rFonts w:cs="Times New Roman"/>
          <w:b/>
          <w:szCs w:val="24"/>
        </w:rPr>
      </w:pPr>
      <w:r w:rsidRPr="00512707">
        <w:rPr>
          <w:rFonts w:cs="Times New Roman" w:hint="eastAsia"/>
          <w:b/>
          <w:szCs w:val="24"/>
        </w:rPr>
        <w:t>國際海事組織會員國稽核方案</w:t>
      </w:r>
      <w:r w:rsidRPr="00512707">
        <w:rPr>
          <w:rFonts w:cs="Times New Roman" w:hint="eastAsia"/>
          <w:b/>
          <w:szCs w:val="24"/>
        </w:rPr>
        <w:t>(</w:t>
      </w:r>
      <w:r w:rsidRPr="00512707">
        <w:rPr>
          <w:rFonts w:cs="Times New Roman" w:hint="eastAsia"/>
          <w:b/>
          <w:szCs w:val="24"/>
        </w:rPr>
        <w:t>議程</w:t>
      </w:r>
      <w:r w:rsidRPr="00512707">
        <w:rPr>
          <w:rFonts w:cs="Times New Roman" w:hint="eastAsia"/>
          <w:b/>
          <w:szCs w:val="24"/>
        </w:rPr>
        <w:t>8)</w:t>
      </w:r>
    </w:p>
    <w:p w14:paraId="09003C4D" w14:textId="77777777" w:rsidR="00512707" w:rsidRPr="00512707" w:rsidRDefault="00512707" w:rsidP="00512707">
      <w:pPr>
        <w:ind w:left="960" w:firstLine="480"/>
        <w:rPr>
          <w:rFonts w:cs="Times New Roman" w:hint="eastAsia"/>
        </w:rPr>
      </w:pPr>
      <w:r w:rsidRPr="00512707">
        <w:rPr>
          <w:rFonts w:cs="Times New Roman" w:hint="eastAsia"/>
        </w:rPr>
        <w:t>委員會注意到與國際海事組織會員國稽核方案</w:t>
      </w:r>
      <w:r w:rsidRPr="00512707">
        <w:rPr>
          <w:rFonts w:cs="Times New Roman" w:hint="eastAsia"/>
        </w:rPr>
        <w:t>(IMO Member State Audit Scheme, IMSAS)</w:t>
      </w:r>
      <w:r w:rsidRPr="00512707">
        <w:rPr>
          <w:rFonts w:cs="Times New Roman" w:hint="eastAsia"/>
        </w:rPr>
        <w:t>有關之技術合作工作的進展。該方案為會員國提供一個客觀的評估，以了解其在有效實施相關</w:t>
      </w:r>
      <w:r w:rsidRPr="00512707">
        <w:rPr>
          <w:rFonts w:cs="Times New Roman" w:hint="eastAsia"/>
        </w:rPr>
        <w:t>IMO</w:t>
      </w:r>
      <w:r w:rsidRPr="00512707">
        <w:rPr>
          <w:rFonts w:cs="Times New Roman" w:hint="eastAsia"/>
        </w:rPr>
        <w:t>公約的程度。</w:t>
      </w:r>
    </w:p>
    <w:p w14:paraId="69161D87" w14:textId="77777777" w:rsidR="00512707" w:rsidRPr="00512707" w:rsidRDefault="00512707" w:rsidP="00512707">
      <w:pPr>
        <w:ind w:left="960" w:firstLine="480"/>
        <w:rPr>
          <w:rFonts w:cs="Times New Roman" w:hint="eastAsia"/>
        </w:rPr>
      </w:pPr>
      <w:r w:rsidRPr="00512707">
        <w:rPr>
          <w:rFonts w:cs="Times New Roman" w:hint="eastAsia"/>
        </w:rPr>
        <w:t>自</w:t>
      </w:r>
      <w:r w:rsidRPr="00512707">
        <w:rPr>
          <w:rFonts w:cs="Times New Roman" w:hint="eastAsia"/>
        </w:rPr>
        <w:t>2006</w:t>
      </w:r>
      <w:r w:rsidRPr="00512707">
        <w:rPr>
          <w:rFonts w:cs="Times New Roman" w:hint="eastAsia"/>
        </w:rPr>
        <w:t>年開始實施</w:t>
      </w:r>
      <w:r w:rsidRPr="00512707">
        <w:rPr>
          <w:rFonts w:cs="Times New Roman" w:hint="eastAsia"/>
        </w:rPr>
        <w:t>ITCP</w:t>
      </w:r>
      <w:r w:rsidRPr="00512707">
        <w:rPr>
          <w:rFonts w:cs="Times New Roman" w:hint="eastAsia"/>
        </w:rPr>
        <w:t>計畫以來，截自</w:t>
      </w:r>
      <w:r w:rsidRPr="00512707">
        <w:rPr>
          <w:rFonts w:cs="Times New Roman" w:hint="eastAsia"/>
        </w:rPr>
        <w:t>2024</w:t>
      </w:r>
      <w:r w:rsidRPr="00512707">
        <w:rPr>
          <w:rFonts w:cs="Times New Roman" w:hint="eastAsia"/>
        </w:rPr>
        <w:t>年</w:t>
      </w:r>
      <w:r w:rsidRPr="00512707">
        <w:rPr>
          <w:rFonts w:cs="Times New Roman" w:hint="eastAsia"/>
        </w:rPr>
        <w:t>6</w:t>
      </w:r>
      <w:r w:rsidRPr="00512707">
        <w:rPr>
          <w:rFonts w:cs="Times New Roman" w:hint="eastAsia"/>
        </w:rPr>
        <w:t>月，共有</w:t>
      </w:r>
      <w:r w:rsidRPr="00512707">
        <w:rPr>
          <w:rFonts w:cs="Times New Roman" w:hint="eastAsia"/>
        </w:rPr>
        <w:t>1,667</w:t>
      </w:r>
      <w:r w:rsidRPr="00512707">
        <w:rPr>
          <w:rFonts w:cs="Times New Roman" w:hint="eastAsia"/>
        </w:rPr>
        <w:t>人接受該計劃下的</w:t>
      </w:r>
      <w:r w:rsidRPr="00512707">
        <w:rPr>
          <w:rFonts w:cs="Times New Roman" w:hint="eastAsia"/>
        </w:rPr>
        <w:t>80</w:t>
      </w:r>
      <w:r w:rsidRPr="00512707">
        <w:rPr>
          <w:rFonts w:cs="Times New Roman" w:hint="eastAsia"/>
        </w:rPr>
        <w:t>項活動的訓練，其中包括來自</w:t>
      </w:r>
      <w:r w:rsidRPr="00512707">
        <w:rPr>
          <w:rFonts w:cs="Times New Roman" w:hint="eastAsia"/>
        </w:rPr>
        <w:t>165</w:t>
      </w:r>
      <w:r w:rsidRPr="00512707">
        <w:rPr>
          <w:rFonts w:cs="Times New Roman" w:hint="eastAsia"/>
        </w:rPr>
        <w:t>個會員國和聯繫會員國的稽核員和海事主管機關人員。亦包含自</w:t>
      </w:r>
      <w:r w:rsidRPr="00512707">
        <w:rPr>
          <w:rFonts w:cs="Times New Roman" w:hint="eastAsia"/>
        </w:rPr>
        <w:t>2023</w:t>
      </w:r>
      <w:r w:rsidRPr="00512707">
        <w:rPr>
          <w:rFonts w:cs="Times New Roman" w:hint="eastAsia"/>
        </w:rPr>
        <w:t>年</w:t>
      </w:r>
      <w:r w:rsidRPr="00512707">
        <w:rPr>
          <w:rFonts w:cs="Times New Roman" w:hint="eastAsia"/>
        </w:rPr>
        <w:t>7</w:t>
      </w:r>
      <w:r w:rsidRPr="00512707">
        <w:rPr>
          <w:rFonts w:cs="Times New Roman" w:hint="eastAsia"/>
        </w:rPr>
        <w:t>月以來接受訓練的</w:t>
      </w:r>
      <w:r w:rsidRPr="00512707">
        <w:rPr>
          <w:rFonts w:cs="Times New Roman" w:hint="eastAsia"/>
        </w:rPr>
        <w:t>120</w:t>
      </w:r>
      <w:r w:rsidRPr="00512707">
        <w:rPr>
          <w:rFonts w:cs="Times New Roman" w:hint="eastAsia"/>
        </w:rPr>
        <w:t>多名專業人員。在委員會會議上，荷蘭代表團承諾捐款</w:t>
      </w:r>
      <w:r w:rsidRPr="00512707">
        <w:rPr>
          <w:rFonts w:cs="Times New Roman" w:hint="eastAsia"/>
        </w:rPr>
        <w:t>20,000</w:t>
      </w:r>
      <w:r w:rsidRPr="00512707">
        <w:rPr>
          <w:rFonts w:cs="Times New Roman" w:hint="eastAsia"/>
        </w:rPr>
        <w:t>歐元，以支持</w:t>
      </w:r>
      <w:r w:rsidRPr="00512707">
        <w:rPr>
          <w:rFonts w:cs="Times New Roman" w:hint="eastAsia"/>
        </w:rPr>
        <w:t>IMSAS</w:t>
      </w:r>
      <w:r w:rsidRPr="00512707">
        <w:rPr>
          <w:rFonts w:cs="Times New Roman" w:hint="eastAsia"/>
        </w:rPr>
        <w:t>全球計畫。</w:t>
      </w:r>
    </w:p>
    <w:p w14:paraId="60BB5329" w14:textId="1077AFCB" w:rsidR="00512707" w:rsidRPr="00512707" w:rsidRDefault="00512707" w:rsidP="00512707">
      <w:pPr>
        <w:ind w:left="960" w:firstLine="480"/>
        <w:rPr>
          <w:rFonts w:cs="Times New Roman" w:hint="eastAsia"/>
        </w:rPr>
      </w:pPr>
      <w:r w:rsidRPr="00512707">
        <w:rPr>
          <w:rFonts w:cs="Times New Roman" w:hint="eastAsia"/>
        </w:rPr>
        <w:t>委員會注意到「國際海事組織會員國稽核方案稽核員訓練課程」電子學習課程已於</w:t>
      </w:r>
      <w:r w:rsidRPr="00512707">
        <w:rPr>
          <w:rFonts w:cs="Times New Roman" w:hint="eastAsia"/>
        </w:rPr>
        <w:t>2023</w:t>
      </w:r>
      <w:r w:rsidRPr="00512707">
        <w:rPr>
          <w:rFonts w:cs="Times New Roman" w:hint="eastAsia"/>
        </w:rPr>
        <w:t>年</w:t>
      </w:r>
      <w:r w:rsidRPr="00512707">
        <w:rPr>
          <w:rFonts w:cs="Times New Roman" w:hint="eastAsia"/>
        </w:rPr>
        <w:t>10</w:t>
      </w:r>
      <w:r w:rsidRPr="00512707">
        <w:rPr>
          <w:rFonts w:cs="Times New Roman" w:hint="eastAsia"/>
        </w:rPr>
        <w:t>月在</w:t>
      </w:r>
      <w:r w:rsidRPr="00512707">
        <w:rPr>
          <w:rFonts w:cs="Times New Roman" w:hint="eastAsia"/>
        </w:rPr>
        <w:t>IMO</w:t>
      </w:r>
      <w:r w:rsidRPr="00512707">
        <w:rPr>
          <w:rFonts w:cs="Times New Roman" w:hint="eastAsia"/>
        </w:rPr>
        <w:t>的電子學習平台上推出。委員會贊同混合學習方法，並審議今後發展電子學習的模式，包括將課程內容翻譯為</w:t>
      </w:r>
      <w:r w:rsidRPr="00512707">
        <w:rPr>
          <w:rFonts w:cs="Times New Roman" w:hint="eastAsia"/>
        </w:rPr>
        <w:t>IMO</w:t>
      </w:r>
      <w:r w:rsidRPr="00512707">
        <w:rPr>
          <w:rFonts w:cs="Times New Roman" w:hint="eastAsia"/>
        </w:rPr>
        <w:t>的官方語言。</w:t>
      </w:r>
    </w:p>
    <w:p w14:paraId="04E109AF" w14:textId="0B980C21" w:rsidR="0044096D" w:rsidRDefault="0044096D" w:rsidP="00EC3B38">
      <w:pPr>
        <w:pStyle w:val="a3"/>
        <w:numPr>
          <w:ilvl w:val="0"/>
          <w:numId w:val="2"/>
        </w:numPr>
        <w:ind w:leftChars="0"/>
        <w:rPr>
          <w:rFonts w:cs="Times New Roman"/>
          <w:b/>
          <w:szCs w:val="24"/>
        </w:rPr>
      </w:pPr>
      <w:r w:rsidRPr="0044096D">
        <w:rPr>
          <w:rFonts w:cs="Times New Roman" w:hint="eastAsia"/>
          <w:b/>
          <w:szCs w:val="24"/>
        </w:rPr>
        <w:t>婦女在海事領域的能力建設</w:t>
      </w:r>
      <w:r w:rsidRPr="0044096D">
        <w:rPr>
          <w:rFonts w:cs="Times New Roman" w:hint="eastAsia"/>
          <w:b/>
          <w:szCs w:val="24"/>
        </w:rPr>
        <w:t>(</w:t>
      </w:r>
      <w:r w:rsidRPr="0044096D">
        <w:rPr>
          <w:rFonts w:cs="Times New Roman" w:hint="eastAsia"/>
          <w:b/>
          <w:szCs w:val="24"/>
        </w:rPr>
        <w:t>議程</w:t>
      </w:r>
      <w:r w:rsidRPr="0044096D">
        <w:rPr>
          <w:rFonts w:cs="Times New Roman" w:hint="eastAsia"/>
          <w:b/>
          <w:szCs w:val="24"/>
        </w:rPr>
        <w:t>9)</w:t>
      </w:r>
    </w:p>
    <w:p w14:paraId="3A572D1D" w14:textId="77777777" w:rsidR="0044096D" w:rsidRPr="0044096D" w:rsidRDefault="0044096D" w:rsidP="0044096D">
      <w:pPr>
        <w:ind w:left="960" w:firstLine="480"/>
        <w:rPr>
          <w:rFonts w:cs="Times New Roman" w:hint="eastAsia"/>
        </w:rPr>
      </w:pPr>
      <w:r w:rsidRPr="0044096D">
        <w:rPr>
          <w:rFonts w:cs="Times New Roman" w:hint="eastAsia"/>
        </w:rPr>
        <w:t>委員會聽取了</w:t>
      </w:r>
      <w:r w:rsidRPr="0044096D">
        <w:rPr>
          <w:rFonts w:cs="Times New Roman" w:hint="eastAsia"/>
        </w:rPr>
        <w:t>IMO</w:t>
      </w:r>
      <w:r w:rsidRPr="0044096D">
        <w:rPr>
          <w:rFonts w:cs="Times New Roman" w:hint="eastAsia"/>
        </w:rPr>
        <w:t>婦女參與海事計畫的最新活動情況，這些活動是</w:t>
      </w:r>
      <w:r w:rsidRPr="0044096D">
        <w:rPr>
          <w:rFonts w:cs="Times New Roman" w:hint="eastAsia"/>
        </w:rPr>
        <w:t>IMO</w:t>
      </w:r>
      <w:r w:rsidRPr="0044096D">
        <w:rPr>
          <w:rFonts w:cs="Times New Roman" w:hint="eastAsia"/>
        </w:rPr>
        <w:t>為加強海事部門性別平等和推動永續發展目標</w:t>
      </w:r>
      <w:r w:rsidRPr="0044096D">
        <w:rPr>
          <w:rFonts w:cs="Times New Roman" w:hint="eastAsia"/>
        </w:rPr>
        <w:t>5(SDG 5)</w:t>
      </w:r>
      <w:r w:rsidRPr="0044096D">
        <w:rPr>
          <w:rFonts w:cs="Times New Roman" w:hint="eastAsia"/>
        </w:rPr>
        <w:t>所做的努力。</w:t>
      </w:r>
    </w:p>
    <w:p w14:paraId="3D6A74E5" w14:textId="77777777" w:rsidR="0044096D" w:rsidRPr="0044096D" w:rsidRDefault="0044096D" w:rsidP="0044096D">
      <w:pPr>
        <w:ind w:left="960" w:firstLine="480"/>
        <w:rPr>
          <w:rFonts w:cs="Times New Roman" w:hint="eastAsia"/>
        </w:rPr>
      </w:pPr>
      <w:r w:rsidRPr="0044096D">
        <w:rPr>
          <w:rFonts w:cs="Times New Roman" w:hint="eastAsia"/>
        </w:rPr>
        <w:t>委員會注意到過去一年</w:t>
      </w:r>
      <w:r w:rsidRPr="0044096D">
        <w:rPr>
          <w:rFonts w:cs="Times New Roman" w:hint="eastAsia"/>
        </w:rPr>
        <w:t>IMO</w:t>
      </w:r>
      <w:r w:rsidRPr="0044096D">
        <w:rPr>
          <w:rFonts w:cs="Times New Roman" w:hint="eastAsia"/>
        </w:rPr>
        <w:t>婦女參與海事計畫開展的活動，包括支持海事領域婦女的能力建設，支持</w:t>
      </w:r>
      <w:r w:rsidRPr="0044096D">
        <w:rPr>
          <w:rFonts w:cs="Times New Roman" w:hint="eastAsia"/>
        </w:rPr>
        <w:t>IMO</w:t>
      </w:r>
      <w:r w:rsidRPr="0044096D">
        <w:rPr>
          <w:rFonts w:cs="Times New Roman" w:hint="eastAsia"/>
        </w:rPr>
        <w:t>海事婦女協會</w:t>
      </w:r>
      <w:r w:rsidRPr="0044096D">
        <w:rPr>
          <w:rFonts w:cs="Times New Roman" w:hint="eastAsia"/>
        </w:rPr>
        <w:t>(IMO Women in Maritime Associations, WIMAs)</w:t>
      </w:r>
      <w:r w:rsidRPr="0044096D">
        <w:rPr>
          <w:rFonts w:cs="Times New Roman" w:hint="eastAsia"/>
        </w:rPr>
        <w:t>，以及由專案長期計畫實施的一系列</w:t>
      </w:r>
      <w:r w:rsidRPr="0044096D">
        <w:rPr>
          <w:rFonts w:cs="Times New Roman" w:hint="eastAsia"/>
        </w:rPr>
        <w:lastRenderedPageBreak/>
        <w:t>具體活動，以推動永續發展目標。</w:t>
      </w:r>
    </w:p>
    <w:p w14:paraId="6315F5EC" w14:textId="38135A58" w:rsidR="0044096D" w:rsidRPr="0044096D" w:rsidRDefault="0044096D" w:rsidP="0044096D">
      <w:pPr>
        <w:ind w:left="960" w:firstLine="480"/>
        <w:rPr>
          <w:rFonts w:cs="Times New Roman" w:hint="eastAsia"/>
        </w:rPr>
      </w:pPr>
      <w:r w:rsidRPr="0044096D">
        <w:rPr>
          <w:rFonts w:cs="Times New Roman" w:hint="eastAsia"/>
        </w:rPr>
        <w:t>而</w:t>
      </w:r>
      <w:r w:rsidRPr="0044096D">
        <w:rPr>
          <w:rFonts w:cs="Times New Roman" w:hint="eastAsia"/>
        </w:rPr>
        <w:t>2024</w:t>
      </w:r>
      <w:r w:rsidRPr="0044096D">
        <w:rPr>
          <w:rFonts w:cs="Times New Roman" w:hint="eastAsia"/>
        </w:rPr>
        <w:t>年國際海事婦女日舉行了主題為「安全地平線：婦女塑造海事安全的未來」</w:t>
      </w:r>
      <w:r w:rsidRPr="0044096D">
        <w:rPr>
          <w:rFonts w:cs="Times New Roman" w:hint="eastAsia"/>
        </w:rPr>
        <w:t>(Safe Horizons: Women Shaping the Future of Maritime Safety)</w:t>
      </w:r>
      <w:r w:rsidRPr="0044096D">
        <w:rPr>
          <w:rFonts w:cs="Times New Roman" w:hint="eastAsia"/>
        </w:rPr>
        <w:t>的會議。</w:t>
      </w:r>
      <w:r w:rsidRPr="0044096D">
        <w:rPr>
          <w:rFonts w:cs="Times New Roman" w:hint="eastAsia"/>
        </w:rPr>
        <w:t>IMO</w:t>
      </w:r>
      <w:r w:rsidRPr="0044096D">
        <w:rPr>
          <w:rFonts w:cs="Times New Roman" w:hint="eastAsia"/>
        </w:rPr>
        <w:t>秘書長親自出席會議，並強調</w:t>
      </w:r>
      <w:r w:rsidRPr="0044096D">
        <w:rPr>
          <w:rFonts w:cs="Times New Roman" w:hint="eastAsia"/>
        </w:rPr>
        <w:t>IMO</w:t>
      </w:r>
      <w:r w:rsidRPr="0044096D">
        <w:rPr>
          <w:rFonts w:cs="Times New Roman" w:hint="eastAsia"/>
        </w:rPr>
        <w:t>對於推動海事部門性別平等的重視。</w:t>
      </w:r>
    </w:p>
    <w:p w14:paraId="375E83FF" w14:textId="4CD9C772" w:rsidR="00DF2B9A" w:rsidRDefault="00DF2B9A" w:rsidP="00EC3B38">
      <w:pPr>
        <w:pStyle w:val="a3"/>
        <w:numPr>
          <w:ilvl w:val="0"/>
          <w:numId w:val="2"/>
        </w:numPr>
        <w:ind w:leftChars="0"/>
        <w:rPr>
          <w:rFonts w:cs="Times New Roman"/>
          <w:b/>
          <w:szCs w:val="24"/>
        </w:rPr>
      </w:pPr>
      <w:r w:rsidRPr="00DF2B9A">
        <w:rPr>
          <w:rFonts w:cs="Times New Roman" w:hint="eastAsia"/>
          <w:b/>
          <w:szCs w:val="24"/>
        </w:rPr>
        <w:t>全球海事訓練機構</w:t>
      </w:r>
      <w:r w:rsidRPr="00DF2B9A">
        <w:rPr>
          <w:rFonts w:cs="Times New Roman" w:hint="eastAsia"/>
          <w:b/>
          <w:szCs w:val="24"/>
        </w:rPr>
        <w:t>(</w:t>
      </w:r>
      <w:r w:rsidRPr="00DF2B9A">
        <w:rPr>
          <w:rFonts w:cs="Times New Roman" w:hint="eastAsia"/>
          <w:b/>
          <w:szCs w:val="24"/>
        </w:rPr>
        <w:t>議程</w:t>
      </w:r>
      <w:r w:rsidRPr="00DF2B9A">
        <w:rPr>
          <w:rFonts w:cs="Times New Roman" w:hint="eastAsia"/>
          <w:b/>
          <w:szCs w:val="24"/>
        </w:rPr>
        <w:t>10)</w:t>
      </w:r>
    </w:p>
    <w:p w14:paraId="30EF4BE0" w14:textId="03A86E12" w:rsidR="00DF2B9A" w:rsidRPr="00DF2B9A" w:rsidRDefault="00DF2B9A" w:rsidP="00DF2B9A">
      <w:pPr>
        <w:ind w:left="960" w:firstLine="480"/>
        <w:rPr>
          <w:rFonts w:cs="Times New Roman" w:hint="eastAsia"/>
        </w:rPr>
      </w:pPr>
      <w:r w:rsidRPr="00DF2B9A">
        <w:rPr>
          <w:rFonts w:cs="Times New Roman" w:hint="eastAsia"/>
        </w:rPr>
        <w:t>委員會聽取了世界海事大學</w:t>
      </w:r>
      <w:r w:rsidRPr="00DF2B9A">
        <w:rPr>
          <w:rFonts w:cs="Times New Roman" w:hint="eastAsia"/>
        </w:rPr>
        <w:t>(WMU)</w:t>
      </w:r>
      <w:r w:rsidRPr="00DF2B9A">
        <w:rPr>
          <w:rFonts w:cs="Times New Roman" w:hint="eastAsia"/>
        </w:rPr>
        <w:t>、國際海事組織國際海事法學院</w:t>
      </w:r>
      <w:r w:rsidRPr="00DF2B9A">
        <w:rPr>
          <w:rFonts w:cs="Times New Roman" w:hint="eastAsia"/>
        </w:rPr>
        <w:t>(IMLI)</w:t>
      </w:r>
      <w:r w:rsidRPr="00DF2B9A">
        <w:rPr>
          <w:rFonts w:cs="Times New Roman" w:hint="eastAsia"/>
        </w:rPr>
        <w:t>和其他訓練機構的最新情況，包括義大利熱那亞的國際海事安全與環境學院</w:t>
      </w:r>
      <w:r w:rsidRPr="00DF2B9A">
        <w:rPr>
          <w:rFonts w:cs="Times New Roman" w:hint="eastAsia"/>
        </w:rPr>
        <w:t>(International Maritime Safety Security and Environment Academy,</w:t>
      </w:r>
      <w:r w:rsidR="002720B3">
        <w:rPr>
          <w:rFonts w:cs="Times New Roman" w:hint="eastAsia"/>
        </w:rPr>
        <w:t xml:space="preserve"> </w:t>
      </w:r>
      <w:r w:rsidRPr="00DF2B9A">
        <w:rPr>
          <w:rFonts w:cs="Times New Roman" w:hint="eastAsia"/>
        </w:rPr>
        <w:t>IMSSEA)</w:t>
      </w:r>
      <w:r w:rsidRPr="00DF2B9A">
        <w:rPr>
          <w:rFonts w:cs="Times New Roman" w:hint="eastAsia"/>
        </w:rPr>
        <w:t>和法國勒哈佛爾的港口教育與研究學院</w:t>
      </w:r>
      <w:r w:rsidRPr="00DF2B9A">
        <w:rPr>
          <w:rFonts w:cs="Times New Roman" w:hint="eastAsia"/>
        </w:rPr>
        <w:t>(</w:t>
      </w:r>
      <w:proofErr w:type="spellStart"/>
      <w:r w:rsidRPr="00DF2B9A">
        <w:rPr>
          <w:rFonts w:cs="Times New Roman" w:hint="eastAsia"/>
        </w:rPr>
        <w:t>Institut</w:t>
      </w:r>
      <w:proofErr w:type="spellEnd"/>
      <w:r w:rsidRPr="00DF2B9A">
        <w:rPr>
          <w:rFonts w:cs="Times New Roman" w:hint="eastAsia"/>
        </w:rPr>
        <w:t xml:space="preserve"> </w:t>
      </w:r>
      <w:proofErr w:type="spellStart"/>
      <w:r w:rsidRPr="00DF2B9A">
        <w:rPr>
          <w:rFonts w:cs="Times New Roman" w:hint="eastAsia"/>
        </w:rPr>
        <w:t>Portuaire</w:t>
      </w:r>
      <w:proofErr w:type="spellEnd"/>
      <w:r w:rsidRPr="00DF2B9A">
        <w:rPr>
          <w:rFonts w:cs="Times New Roman" w:hint="eastAsia"/>
        </w:rPr>
        <w:t xml:space="preserve"> </w:t>
      </w:r>
      <w:proofErr w:type="spellStart"/>
      <w:r w:rsidRPr="00DF2B9A">
        <w:rPr>
          <w:rFonts w:cs="Times New Roman" w:hint="eastAsia"/>
        </w:rPr>
        <w:t>d'Enseignement</w:t>
      </w:r>
      <w:proofErr w:type="spellEnd"/>
      <w:r w:rsidRPr="00DF2B9A">
        <w:rPr>
          <w:rFonts w:cs="Times New Roman" w:hint="eastAsia"/>
        </w:rPr>
        <w:t xml:space="preserve"> et de Recherche du Havre, IPER)</w:t>
      </w:r>
      <w:r w:rsidRPr="00DF2B9A">
        <w:rPr>
          <w:rFonts w:cs="Times New Roman" w:hint="eastAsia"/>
        </w:rPr>
        <w:t>。</w:t>
      </w:r>
    </w:p>
    <w:p w14:paraId="673EA03F" w14:textId="77777777" w:rsidR="00DF2B9A" w:rsidRPr="00DF2B9A" w:rsidRDefault="00DF2B9A" w:rsidP="00DF2B9A">
      <w:pPr>
        <w:ind w:left="960" w:firstLine="480"/>
        <w:rPr>
          <w:rFonts w:cs="Times New Roman" w:hint="eastAsia"/>
        </w:rPr>
      </w:pPr>
      <w:r w:rsidRPr="00DF2B9A">
        <w:rPr>
          <w:rFonts w:cs="Times New Roman" w:hint="eastAsia"/>
        </w:rPr>
        <w:t>根據世界海事大學報告，</w:t>
      </w:r>
      <w:r w:rsidRPr="00DF2B9A">
        <w:rPr>
          <w:rFonts w:cs="Times New Roman" w:hint="eastAsia"/>
        </w:rPr>
        <w:t>2023</w:t>
      </w:r>
      <w:r w:rsidRPr="00DF2B9A">
        <w:rPr>
          <w:rFonts w:cs="Times New Roman" w:hint="eastAsia"/>
        </w:rPr>
        <w:t>年共有</w:t>
      </w:r>
      <w:r w:rsidRPr="00DF2B9A">
        <w:rPr>
          <w:rFonts w:cs="Times New Roman" w:hint="eastAsia"/>
        </w:rPr>
        <w:t>286</w:t>
      </w:r>
      <w:r w:rsidRPr="00DF2B9A">
        <w:rPr>
          <w:rFonts w:cs="Times New Roman" w:hint="eastAsia"/>
        </w:rPr>
        <w:t>名畢業生，其中</w:t>
      </w:r>
      <w:r w:rsidRPr="00DF2B9A">
        <w:rPr>
          <w:rFonts w:cs="Times New Roman" w:hint="eastAsia"/>
        </w:rPr>
        <w:t>36%</w:t>
      </w:r>
      <w:r w:rsidRPr="00DF2B9A">
        <w:rPr>
          <w:rFonts w:cs="Times New Roman" w:hint="eastAsia"/>
        </w:rPr>
        <w:t>為女性。這使世界海事大學自建校以來的畢業生總數達到</w:t>
      </w:r>
      <w:r w:rsidRPr="00DF2B9A">
        <w:rPr>
          <w:rFonts w:cs="Times New Roman" w:hint="eastAsia"/>
        </w:rPr>
        <w:t>6,087</w:t>
      </w:r>
      <w:r w:rsidRPr="00DF2B9A">
        <w:rPr>
          <w:rFonts w:cs="Times New Roman" w:hint="eastAsia"/>
        </w:rPr>
        <w:t>人，來自</w:t>
      </w:r>
      <w:r w:rsidRPr="00DF2B9A">
        <w:rPr>
          <w:rFonts w:cs="Times New Roman" w:hint="eastAsia"/>
        </w:rPr>
        <w:t>170</w:t>
      </w:r>
      <w:r w:rsidRPr="00DF2B9A">
        <w:rPr>
          <w:rFonts w:cs="Times New Roman" w:hint="eastAsia"/>
        </w:rPr>
        <w:t>個國家和地區。</w:t>
      </w:r>
    </w:p>
    <w:p w14:paraId="689682DA" w14:textId="77777777" w:rsidR="00DF2B9A" w:rsidRPr="00DF2B9A" w:rsidRDefault="00DF2B9A" w:rsidP="00DF2B9A">
      <w:pPr>
        <w:ind w:left="960" w:firstLine="480"/>
        <w:rPr>
          <w:rFonts w:cs="Times New Roman" w:hint="eastAsia"/>
        </w:rPr>
      </w:pPr>
      <w:r w:rsidRPr="00DF2B9A">
        <w:rPr>
          <w:rFonts w:cs="Times New Roman" w:hint="eastAsia"/>
        </w:rPr>
        <w:t>根據國際海事組織國際海事法學院報告，</w:t>
      </w:r>
      <w:r w:rsidRPr="00DF2B9A">
        <w:rPr>
          <w:rFonts w:cs="Times New Roman" w:hint="eastAsia"/>
        </w:rPr>
        <w:t>2023</w:t>
      </w:r>
      <w:r w:rsidRPr="00DF2B9A">
        <w:rPr>
          <w:rFonts w:cs="Times New Roman" w:hint="eastAsia"/>
        </w:rPr>
        <w:t>年共有</w:t>
      </w:r>
      <w:r w:rsidRPr="00DF2B9A">
        <w:rPr>
          <w:rFonts w:cs="Times New Roman" w:hint="eastAsia"/>
        </w:rPr>
        <w:t>54</w:t>
      </w:r>
      <w:r w:rsidRPr="00DF2B9A">
        <w:rPr>
          <w:rFonts w:cs="Times New Roman" w:hint="eastAsia"/>
        </w:rPr>
        <w:t>名畢業生，其中</w:t>
      </w:r>
      <w:r w:rsidRPr="00DF2B9A">
        <w:rPr>
          <w:rFonts w:cs="Times New Roman" w:hint="eastAsia"/>
        </w:rPr>
        <w:t>53%</w:t>
      </w:r>
      <w:r w:rsidRPr="00DF2B9A">
        <w:rPr>
          <w:rFonts w:cs="Times New Roman" w:hint="eastAsia"/>
        </w:rPr>
        <w:t>為女性。這反映了該學院的長期政策，即碩士課程</w:t>
      </w:r>
      <w:r w:rsidRPr="00DF2B9A">
        <w:rPr>
          <w:rFonts w:cs="Times New Roman" w:hint="eastAsia"/>
        </w:rPr>
        <w:t>50%</w:t>
      </w:r>
      <w:r w:rsidRPr="00DF2B9A">
        <w:rPr>
          <w:rFonts w:cs="Times New Roman" w:hint="eastAsia"/>
        </w:rPr>
        <w:t>名額保留給女性。自該學院成立以來，已有來自</w:t>
      </w:r>
      <w:r w:rsidRPr="00DF2B9A">
        <w:rPr>
          <w:rFonts w:cs="Times New Roman" w:hint="eastAsia"/>
        </w:rPr>
        <w:t>150</w:t>
      </w:r>
      <w:r w:rsidRPr="00DF2B9A">
        <w:rPr>
          <w:rFonts w:cs="Times New Roman" w:hint="eastAsia"/>
        </w:rPr>
        <w:t>個國家和地區的</w:t>
      </w:r>
      <w:r w:rsidRPr="00DF2B9A">
        <w:rPr>
          <w:rFonts w:cs="Times New Roman" w:hint="eastAsia"/>
        </w:rPr>
        <w:t>1,039</w:t>
      </w:r>
      <w:r w:rsidRPr="00DF2B9A">
        <w:rPr>
          <w:rFonts w:cs="Times New Roman" w:hint="eastAsia"/>
        </w:rPr>
        <w:t>名畢業生自該學院畢業。</w:t>
      </w:r>
    </w:p>
    <w:p w14:paraId="59C5377B" w14:textId="7126C999" w:rsidR="00DF2B9A" w:rsidRPr="00DF2B9A" w:rsidRDefault="00DF2B9A" w:rsidP="00DF2B9A">
      <w:pPr>
        <w:ind w:left="960" w:firstLine="480"/>
        <w:rPr>
          <w:rFonts w:cs="Times New Roman" w:hint="eastAsia"/>
        </w:rPr>
      </w:pPr>
      <w:r w:rsidRPr="00DF2B9A">
        <w:rPr>
          <w:rFonts w:cs="Times New Roman" w:hint="eastAsia"/>
        </w:rPr>
        <w:t>委員會敦促會員國根據其當地法律承認這兩</w:t>
      </w:r>
      <w:proofErr w:type="gramStart"/>
      <w:r w:rsidRPr="00DF2B9A">
        <w:rPr>
          <w:rFonts w:cs="Times New Roman" w:hint="eastAsia"/>
        </w:rPr>
        <w:t>個</w:t>
      </w:r>
      <w:proofErr w:type="gramEnd"/>
      <w:r w:rsidRPr="00DF2B9A">
        <w:rPr>
          <w:rFonts w:cs="Times New Roman" w:hint="eastAsia"/>
        </w:rPr>
        <w:t>主要海事訓練機構所授予的學位，並敦促會員國、業界、政府間組織和非政府組織持續提供財政支持。</w:t>
      </w:r>
    </w:p>
    <w:p w14:paraId="4718F630" w14:textId="77777777" w:rsidR="00683298" w:rsidRPr="00683298" w:rsidRDefault="00683298" w:rsidP="00EC3B38">
      <w:pPr>
        <w:pStyle w:val="a3"/>
        <w:numPr>
          <w:ilvl w:val="0"/>
          <w:numId w:val="2"/>
        </w:numPr>
        <w:ind w:leftChars="0"/>
        <w:rPr>
          <w:rFonts w:cs="Times New Roman" w:hint="eastAsia"/>
          <w:b/>
          <w:szCs w:val="24"/>
        </w:rPr>
      </w:pPr>
      <w:r w:rsidRPr="00683298">
        <w:rPr>
          <w:rFonts w:cs="Times New Roman" w:hint="eastAsia"/>
          <w:b/>
          <w:szCs w:val="24"/>
        </w:rPr>
        <w:t>經修訂的</w:t>
      </w:r>
      <w:r w:rsidRPr="00683298">
        <w:rPr>
          <w:rFonts w:cs="Times New Roman" w:hint="eastAsia"/>
          <w:b/>
          <w:szCs w:val="24"/>
        </w:rPr>
        <w:t>2020-2023</w:t>
      </w:r>
      <w:r w:rsidRPr="00683298">
        <w:rPr>
          <w:rFonts w:cs="Times New Roman" w:hint="eastAsia"/>
          <w:b/>
          <w:szCs w:val="24"/>
        </w:rPr>
        <w:t>年</w:t>
      </w:r>
      <w:r w:rsidRPr="00683298">
        <w:rPr>
          <w:rFonts w:cs="Times New Roman" w:hint="eastAsia"/>
          <w:b/>
          <w:szCs w:val="24"/>
        </w:rPr>
        <w:t>ITCP</w:t>
      </w:r>
      <w:r w:rsidRPr="00683298">
        <w:rPr>
          <w:rFonts w:cs="Times New Roman" w:hint="eastAsia"/>
          <w:b/>
          <w:szCs w:val="24"/>
        </w:rPr>
        <w:t>活動評估方法</w:t>
      </w:r>
      <w:r w:rsidRPr="00683298">
        <w:rPr>
          <w:rFonts w:cs="Times New Roman" w:hint="eastAsia"/>
          <w:b/>
          <w:szCs w:val="24"/>
        </w:rPr>
        <w:t>(</w:t>
      </w:r>
      <w:r w:rsidRPr="00683298">
        <w:rPr>
          <w:rFonts w:cs="Times New Roman" w:hint="eastAsia"/>
          <w:b/>
          <w:szCs w:val="24"/>
        </w:rPr>
        <w:t>議程</w:t>
      </w:r>
      <w:r w:rsidRPr="00683298">
        <w:rPr>
          <w:rFonts w:cs="Times New Roman" w:hint="eastAsia"/>
          <w:b/>
          <w:szCs w:val="24"/>
        </w:rPr>
        <w:t>11)</w:t>
      </w:r>
    </w:p>
    <w:p w14:paraId="3AF83AD9" w14:textId="77777777" w:rsidR="00683298" w:rsidRPr="00683298" w:rsidRDefault="00683298" w:rsidP="00683298">
      <w:pPr>
        <w:ind w:left="960" w:firstLine="480"/>
        <w:rPr>
          <w:rFonts w:cs="Times New Roman" w:hint="eastAsia"/>
        </w:rPr>
      </w:pPr>
      <w:r w:rsidRPr="00683298">
        <w:rPr>
          <w:rFonts w:cs="Times New Roman" w:hint="eastAsia"/>
        </w:rPr>
        <w:t>委員會獲悉根據《經修訂之技術合作基金運作規則》</w:t>
      </w:r>
      <w:r w:rsidRPr="00683298">
        <w:rPr>
          <w:rFonts w:cs="Times New Roman" w:hint="eastAsia"/>
        </w:rPr>
        <w:t>(Revised Rules of Operation of the Technical Cooperation Fund)</w:t>
      </w:r>
      <w:r w:rsidRPr="00683298">
        <w:rPr>
          <w:rFonts w:cs="Times New Roman" w:hint="eastAsia"/>
        </w:rPr>
        <w:t>，應於</w:t>
      </w:r>
      <w:r w:rsidRPr="00683298">
        <w:rPr>
          <w:rFonts w:cs="Times New Roman" w:hint="eastAsia"/>
        </w:rPr>
        <w:t>2024</w:t>
      </w:r>
      <w:r w:rsidRPr="00683298">
        <w:rPr>
          <w:rFonts w:cs="Times New Roman" w:hint="eastAsia"/>
        </w:rPr>
        <w:t>年對</w:t>
      </w:r>
      <w:r w:rsidRPr="00683298">
        <w:rPr>
          <w:rFonts w:cs="Times New Roman" w:hint="eastAsia"/>
        </w:rPr>
        <w:t>2020</w:t>
      </w:r>
      <w:r w:rsidRPr="00683298">
        <w:rPr>
          <w:rFonts w:cs="Times New Roman" w:hint="eastAsia"/>
        </w:rPr>
        <w:t>年至</w:t>
      </w:r>
      <w:r w:rsidRPr="00683298">
        <w:rPr>
          <w:rFonts w:cs="Times New Roman" w:hint="eastAsia"/>
        </w:rPr>
        <w:t>2023</w:t>
      </w:r>
      <w:r w:rsidRPr="00683298">
        <w:rPr>
          <w:rFonts w:cs="Times New Roman" w:hint="eastAsia"/>
        </w:rPr>
        <w:t>年期間通過之</w:t>
      </w:r>
      <w:r w:rsidRPr="00683298">
        <w:rPr>
          <w:rFonts w:cs="Times New Roman" w:hint="eastAsia"/>
        </w:rPr>
        <w:t>ITCP</w:t>
      </w:r>
      <w:r w:rsidRPr="00683298">
        <w:rPr>
          <w:rFonts w:cs="Times New Roman" w:hint="eastAsia"/>
        </w:rPr>
        <w:t>和技術合作基金提供的技術援助進行影響評估。</w:t>
      </w:r>
    </w:p>
    <w:p w14:paraId="5FF679A9" w14:textId="77777777" w:rsidR="00683298" w:rsidRPr="00683298" w:rsidRDefault="00683298" w:rsidP="00683298">
      <w:pPr>
        <w:ind w:left="960" w:firstLine="480"/>
        <w:rPr>
          <w:rFonts w:cs="Times New Roman" w:hint="eastAsia"/>
        </w:rPr>
      </w:pPr>
      <w:r w:rsidRPr="00683298">
        <w:rPr>
          <w:rFonts w:cs="Times New Roman" w:hint="eastAsia"/>
        </w:rPr>
        <w:t>國際海事組織內部監督和道德操守辦公室</w:t>
      </w:r>
      <w:r w:rsidRPr="00683298">
        <w:rPr>
          <w:rFonts w:cs="Times New Roman" w:hint="eastAsia"/>
        </w:rPr>
        <w:t>(IMO</w:t>
      </w:r>
      <w:proofErr w:type="gramStart"/>
      <w:r w:rsidRPr="00683298">
        <w:rPr>
          <w:rFonts w:cs="Times New Roman" w:hint="eastAsia"/>
        </w:rPr>
        <w:t>’</w:t>
      </w:r>
      <w:proofErr w:type="gramEnd"/>
      <w:r w:rsidRPr="00683298">
        <w:rPr>
          <w:rFonts w:cs="Times New Roman" w:hint="eastAsia"/>
        </w:rPr>
        <w:t>s Internal Oversight and Ethics Office (IOEO))</w:t>
      </w:r>
      <w:r w:rsidRPr="00683298">
        <w:rPr>
          <w:rFonts w:cs="Times New Roman" w:hint="eastAsia"/>
        </w:rPr>
        <w:t>進行評估發現，有</w:t>
      </w:r>
      <w:proofErr w:type="gramStart"/>
      <w:r w:rsidRPr="00683298">
        <w:rPr>
          <w:rFonts w:cs="Times New Roman" w:hint="eastAsia"/>
        </w:rPr>
        <w:t>鑑</w:t>
      </w:r>
      <w:proofErr w:type="gramEnd"/>
      <w:r w:rsidRPr="00683298">
        <w:rPr>
          <w:rFonts w:cs="Times New Roman" w:hint="eastAsia"/>
        </w:rPr>
        <w:t>於國際海事組織技術合作運作的環境瞬息萬變，長期以來進行影響評估的方法已不再適用，因此有必要進行修訂。</w:t>
      </w:r>
    </w:p>
    <w:p w14:paraId="6F02AB66" w14:textId="6C171584" w:rsidR="00E300CC" w:rsidRPr="009658A3" w:rsidRDefault="00683298" w:rsidP="009658A3">
      <w:pPr>
        <w:ind w:left="960" w:firstLine="480"/>
        <w:rPr>
          <w:rFonts w:cs="Times New Roman" w:hint="eastAsia"/>
        </w:rPr>
      </w:pPr>
      <w:r w:rsidRPr="00683298">
        <w:rPr>
          <w:rFonts w:cs="Times New Roman" w:hint="eastAsia"/>
        </w:rPr>
        <w:t>經修訂之更具動態性、戰略性和前瞻性的方法將用於編製評估報告。</w:t>
      </w:r>
      <w:proofErr w:type="gramStart"/>
      <w:r w:rsidRPr="00683298">
        <w:rPr>
          <w:rFonts w:cs="Times New Roman" w:hint="eastAsia"/>
        </w:rPr>
        <w:t>此外，</w:t>
      </w:r>
      <w:proofErr w:type="gramEnd"/>
      <w:r w:rsidRPr="00683298">
        <w:rPr>
          <w:rFonts w:cs="Times New Roman" w:hint="eastAsia"/>
        </w:rPr>
        <w:t>會員國將能夠參與整個過程並了解情況。</w:t>
      </w:r>
    </w:p>
    <w:bookmarkEnd w:id="4"/>
    <w:bookmarkEnd w:id="5"/>
    <w:p w14:paraId="2B95B780" w14:textId="77777777" w:rsidR="00EA436C" w:rsidRPr="00D56615" w:rsidRDefault="00142018" w:rsidP="00D56615">
      <w:pPr>
        <w:pStyle w:val="a3"/>
        <w:numPr>
          <w:ilvl w:val="0"/>
          <w:numId w:val="1"/>
        </w:numPr>
        <w:ind w:leftChars="0" w:left="566" w:hangingChars="202" w:hanging="566"/>
        <w:jc w:val="both"/>
        <w:rPr>
          <w:rFonts w:cs="Times New Roman"/>
          <w:b/>
          <w:sz w:val="28"/>
          <w:szCs w:val="28"/>
        </w:rPr>
      </w:pPr>
      <w:r w:rsidRPr="00D56615">
        <w:rPr>
          <w:rFonts w:cs="Times New Roman"/>
          <w:b/>
          <w:sz w:val="28"/>
          <w:szCs w:val="28"/>
        </w:rPr>
        <w:lastRenderedPageBreak/>
        <w:t>下次</w:t>
      </w:r>
      <w:r w:rsidR="00EA436C" w:rsidRPr="00D56615">
        <w:rPr>
          <w:rFonts w:cs="Times New Roman"/>
          <w:b/>
          <w:sz w:val="28"/>
          <w:szCs w:val="28"/>
        </w:rPr>
        <w:t>會議期程</w:t>
      </w:r>
    </w:p>
    <w:p w14:paraId="29AD7614" w14:textId="04C41CA5" w:rsidR="00A55BE4" w:rsidRPr="00A448E4" w:rsidRDefault="00A448E4" w:rsidP="00F341A1">
      <w:pPr>
        <w:pStyle w:val="a3"/>
        <w:ind w:leftChars="0" w:left="482" w:firstLineChars="100" w:firstLine="240"/>
        <w:rPr>
          <w:rFonts w:cs="Times New Roman"/>
        </w:rPr>
      </w:pPr>
      <w:bookmarkStart w:id="6" w:name="_Hlk162345216"/>
      <w:bookmarkStart w:id="7" w:name="_Hlk167454306"/>
      <w:bookmarkStart w:id="8" w:name="OLE_LINK19"/>
      <w:r w:rsidRPr="00A448E4">
        <w:rPr>
          <w:rFonts w:cs="Times New Roman" w:hint="eastAsia"/>
        </w:rPr>
        <w:t>下次會議</w:t>
      </w:r>
      <w:r w:rsidR="00165882" w:rsidRPr="00165882">
        <w:rPr>
          <w:rFonts w:cs="Times New Roman" w:hint="eastAsia"/>
        </w:rPr>
        <w:t>TC 75</w:t>
      </w:r>
      <w:r w:rsidR="00165882" w:rsidRPr="00165882">
        <w:rPr>
          <w:rFonts w:cs="Times New Roman" w:hint="eastAsia"/>
        </w:rPr>
        <w:t>預計將於</w:t>
      </w:r>
      <w:r w:rsidR="00165882" w:rsidRPr="00165882">
        <w:rPr>
          <w:rFonts w:cs="Times New Roman" w:hint="eastAsia"/>
        </w:rPr>
        <w:t>2025</w:t>
      </w:r>
      <w:r w:rsidR="00165882" w:rsidRPr="00165882">
        <w:rPr>
          <w:rFonts w:cs="Times New Roman" w:hint="eastAsia"/>
        </w:rPr>
        <w:t>年</w:t>
      </w:r>
      <w:r w:rsidR="00165882" w:rsidRPr="00165882">
        <w:rPr>
          <w:rFonts w:cs="Times New Roman" w:hint="eastAsia"/>
        </w:rPr>
        <w:t>6</w:t>
      </w:r>
      <w:r w:rsidR="00165882" w:rsidRPr="00165882">
        <w:rPr>
          <w:rFonts w:cs="Times New Roman" w:hint="eastAsia"/>
        </w:rPr>
        <w:t>月舉行。</w:t>
      </w:r>
      <w:bookmarkEnd w:id="6"/>
    </w:p>
    <w:p w14:paraId="7E97A92A" w14:textId="77777777" w:rsidR="009E4DC3" w:rsidRPr="002D4B8D" w:rsidRDefault="009E4DC3" w:rsidP="00D56615">
      <w:pPr>
        <w:pStyle w:val="a3"/>
        <w:ind w:leftChars="0" w:left="482"/>
        <w:rPr>
          <w:rFonts w:cs="Times New Roman"/>
        </w:rPr>
      </w:pPr>
    </w:p>
    <w:bookmarkEnd w:id="7"/>
    <w:bookmarkEnd w:id="8"/>
    <w:p w14:paraId="1B41B08A" w14:textId="77777777" w:rsidR="00EA436C" w:rsidRPr="009E4DC3" w:rsidRDefault="00EA436C" w:rsidP="009E4DC3">
      <w:pPr>
        <w:pStyle w:val="a3"/>
        <w:numPr>
          <w:ilvl w:val="0"/>
          <w:numId w:val="1"/>
        </w:numPr>
        <w:ind w:leftChars="0" w:left="566" w:hangingChars="202" w:hanging="566"/>
        <w:jc w:val="both"/>
        <w:rPr>
          <w:rFonts w:cs="Times New Roman"/>
          <w:b/>
          <w:sz w:val="28"/>
          <w:szCs w:val="28"/>
        </w:rPr>
      </w:pPr>
      <w:r w:rsidRPr="009E4DC3">
        <w:rPr>
          <w:rFonts w:cs="Times New Roman"/>
          <w:b/>
          <w:sz w:val="28"/>
          <w:szCs w:val="28"/>
        </w:rPr>
        <w:t>延伸參考資料</w:t>
      </w:r>
    </w:p>
    <w:p w14:paraId="11D312BF" w14:textId="6A441B46" w:rsidR="00B92913" w:rsidRPr="00B92913" w:rsidRDefault="00B92913" w:rsidP="00B92913">
      <w:pPr>
        <w:pStyle w:val="a3"/>
        <w:numPr>
          <w:ilvl w:val="1"/>
          <w:numId w:val="1"/>
        </w:numPr>
        <w:ind w:leftChars="0"/>
        <w:rPr>
          <w:rFonts w:cs="Times New Roman"/>
        </w:rPr>
      </w:pPr>
      <w:r w:rsidRPr="00B92913">
        <w:rPr>
          <w:rFonts w:cs="Times New Roman"/>
        </w:rPr>
        <w:t>IMO. Technical Cooperation Committee - 74th session (TC 74), 24-28 June 2024.</w:t>
      </w:r>
      <w:r>
        <w:rPr>
          <w:rFonts w:cs="Times New Roman"/>
        </w:rPr>
        <w:t xml:space="preserve"> </w:t>
      </w:r>
      <w:hyperlink r:id="rId8" w:history="1">
        <w:r w:rsidRPr="006A1344">
          <w:rPr>
            <w:rStyle w:val="a8"/>
            <w:rFonts w:cs="Times New Roman"/>
          </w:rPr>
          <w:t>https://www.imo.org/en/MediaCentre/MeetingSummaries/Pages/TC-74th-session.aspx</w:t>
        </w:r>
      </w:hyperlink>
      <w:r>
        <w:rPr>
          <w:rFonts w:cs="Times New Roman"/>
        </w:rPr>
        <w:t xml:space="preserve"> </w:t>
      </w:r>
    </w:p>
    <w:p w14:paraId="55655AC4" w14:textId="248445A4" w:rsidR="00CA31A5" w:rsidRDefault="00CA31A5">
      <w:pPr>
        <w:widowControl/>
        <w:rPr>
          <w:rFonts w:cs="Times New Roman"/>
        </w:rPr>
      </w:pPr>
    </w:p>
    <w:sectPr w:rsidR="00CA31A5" w:rsidSect="00D6158C">
      <w:headerReference w:type="default" r:id="rId9"/>
      <w:footerReference w:type="default" r:id="rId10"/>
      <w:pgSz w:w="11906" w:h="16838"/>
      <w:pgMar w:top="1440" w:right="1800" w:bottom="1440" w:left="1800"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25079" w14:textId="77777777" w:rsidR="00EC3B38" w:rsidRDefault="00EC3B38" w:rsidP="00B857BB">
      <w:r>
        <w:separator/>
      </w:r>
    </w:p>
  </w:endnote>
  <w:endnote w:type="continuationSeparator" w:id="0">
    <w:p w14:paraId="125F2CDF" w14:textId="77777777" w:rsidR="00EC3B38" w:rsidRDefault="00EC3B38" w:rsidP="00B8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2694889"/>
      <w:docPartObj>
        <w:docPartGallery w:val="Page Numbers (Bottom of Page)"/>
        <w:docPartUnique/>
      </w:docPartObj>
    </w:sdtPr>
    <w:sdtEndPr/>
    <w:sdtContent>
      <w:p w14:paraId="3FD71987" w14:textId="77777777" w:rsidR="00AA5B09" w:rsidRDefault="0019485C">
        <w:pPr>
          <w:pStyle w:val="ac"/>
          <w:jc w:val="center"/>
        </w:pPr>
        <w:r>
          <w:rPr>
            <w:noProof/>
          </w:rPr>
          <w:drawing>
            <wp:anchor distT="0" distB="0" distL="114300" distR="114300" simplePos="0" relativeHeight="251659264" behindDoc="1" locked="0" layoutInCell="1" allowOverlap="1" wp14:anchorId="0F94E1D4" wp14:editId="5DA83C9C">
              <wp:simplePos x="0" y="0"/>
              <wp:positionH relativeFrom="margin">
                <wp:posOffset>692150</wp:posOffset>
              </wp:positionH>
              <wp:positionV relativeFrom="margin">
                <wp:posOffset>8822690</wp:posOffset>
              </wp:positionV>
              <wp:extent cx="3949920" cy="612000"/>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992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5B09">
          <w:fldChar w:fldCharType="begin"/>
        </w:r>
        <w:r w:rsidR="00AA5B09">
          <w:instrText>PAGE   \* MERGEFORMAT</w:instrText>
        </w:r>
        <w:r w:rsidR="00AA5B09">
          <w:fldChar w:fldCharType="separate"/>
        </w:r>
        <w:r w:rsidR="00AA5B09">
          <w:rPr>
            <w:lang w:val="zh-TW"/>
          </w:rPr>
          <w:t>2</w:t>
        </w:r>
        <w:r w:rsidR="00AA5B09">
          <w:fldChar w:fldCharType="end"/>
        </w:r>
      </w:p>
    </w:sdtContent>
  </w:sdt>
  <w:p w14:paraId="39FB19EC" w14:textId="77777777" w:rsidR="00AA5B09" w:rsidRDefault="00AA5B0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5ACB6" w14:textId="77777777" w:rsidR="00EC3B38" w:rsidRDefault="00EC3B38" w:rsidP="00B857BB">
      <w:r>
        <w:separator/>
      </w:r>
    </w:p>
  </w:footnote>
  <w:footnote w:type="continuationSeparator" w:id="0">
    <w:p w14:paraId="08BA7E6C" w14:textId="77777777" w:rsidR="00EC3B38" w:rsidRDefault="00EC3B38" w:rsidP="00B857BB">
      <w:r>
        <w:continuationSeparator/>
      </w:r>
    </w:p>
  </w:footnote>
  <w:footnote w:id="1">
    <w:p w14:paraId="1A2A0829" w14:textId="12883DC6" w:rsidR="00820354" w:rsidRPr="007B63A6" w:rsidRDefault="00820354" w:rsidP="00736138">
      <w:pPr>
        <w:pStyle w:val="a5"/>
        <w:ind w:leftChars="-17" w:left="143" w:hangingChars="92" w:hanging="184"/>
        <w:rPr>
          <w:b/>
        </w:rPr>
      </w:pPr>
      <w:r>
        <w:rPr>
          <w:rStyle w:val="a7"/>
        </w:rPr>
        <w:footnoteRef/>
      </w:r>
      <w:r>
        <w:t xml:space="preserve"> </w:t>
      </w:r>
      <w:r w:rsidR="00736138">
        <w:t xml:space="preserve">IMO. </w:t>
      </w:r>
      <w:r w:rsidR="00736138" w:rsidRPr="004418F1">
        <w:t>Technical Cooperation Committee (TC)</w:t>
      </w:r>
      <w:r w:rsidR="00736138">
        <w:rPr>
          <w:rFonts w:hint="eastAsia"/>
        </w:rPr>
        <w:t>.</w:t>
      </w:r>
      <w:r w:rsidR="00736138">
        <w:t xml:space="preserve"> </w:t>
      </w:r>
      <w:hyperlink r:id="rId1" w:history="1">
        <w:r w:rsidR="00736138" w:rsidRPr="008318BB">
          <w:rPr>
            <w:rStyle w:val="a8"/>
          </w:rPr>
          <w:t>https://www.imo.org/en/MediaCentre/MeetingSummaries/Pages/TC-Default.aspx</w:t>
        </w:r>
      </w:hyperlink>
      <w:r w:rsidR="00736138">
        <w:t xml:space="preserve"> </w:t>
      </w:r>
      <w:r w:rsidR="00736138">
        <w:rPr>
          <w:rFonts w:hint="eastAsia"/>
        </w:rPr>
        <w:t xml:space="preserve"> </w:t>
      </w:r>
    </w:p>
  </w:footnote>
  <w:footnote w:id="2">
    <w:p w14:paraId="30DC0C31" w14:textId="36FDD744" w:rsidR="00D87AB4" w:rsidRDefault="00820354" w:rsidP="00D87AB4">
      <w:pPr>
        <w:pStyle w:val="a5"/>
        <w:ind w:left="142" w:hangingChars="71" w:hanging="142"/>
      </w:pPr>
      <w:r>
        <w:rPr>
          <w:rStyle w:val="a7"/>
        </w:rPr>
        <w:footnoteRef/>
      </w:r>
      <w:r>
        <w:t xml:space="preserve"> </w:t>
      </w:r>
      <w:bookmarkStart w:id="2" w:name="_GoBack"/>
      <w:r w:rsidR="00D87AB4">
        <w:rPr>
          <w:rFonts w:hint="eastAsia"/>
        </w:rPr>
        <w:t>IMO.</w:t>
      </w:r>
      <w:r w:rsidR="00D87AB4">
        <w:t xml:space="preserve"> </w:t>
      </w:r>
      <w:r w:rsidR="00D87AB4" w:rsidRPr="00F3038F">
        <w:t>Technical Cooperation Committee - 74th session (TC 74), 24-28 June 2024</w:t>
      </w:r>
      <w:r w:rsidR="00D87AB4">
        <w:t>.</w:t>
      </w:r>
      <w:r w:rsidR="00D87AB4">
        <w:rPr>
          <w:rFonts w:hint="eastAsia"/>
        </w:rPr>
        <w:t xml:space="preserve"> </w:t>
      </w:r>
      <w:hyperlink r:id="rId2" w:history="1">
        <w:r w:rsidR="00D87AB4" w:rsidRPr="008318BB">
          <w:rPr>
            <w:rStyle w:val="a8"/>
          </w:rPr>
          <w:t>https://www.imo.org/en/MediaCentre/MeetingSummaries/Pages/TC-74th-session.aspx</w:t>
        </w:r>
      </w:hyperlink>
      <w:r w:rsidR="00D87AB4">
        <w:t xml:space="preserve"> </w:t>
      </w:r>
      <w:bookmarkEnd w:id="2"/>
    </w:p>
    <w:p w14:paraId="5987DE6A" w14:textId="77777777" w:rsidR="00820354" w:rsidRPr="00D87AB4" w:rsidRDefault="00820354">
      <w:pPr>
        <w:pStyle w:val="a5"/>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3B823" w14:textId="4C8378A2" w:rsidR="00D6158C" w:rsidRPr="00C57077" w:rsidRDefault="00D6158C" w:rsidP="00D6158C">
    <w:pPr>
      <w:pStyle w:val="aa"/>
      <w:tabs>
        <w:tab w:val="clear" w:pos="4153"/>
        <w:tab w:val="clear" w:pos="8306"/>
        <w:tab w:val="center" w:pos="3969"/>
      </w:tabs>
      <w:ind w:leftChars="-413" w:left="-991" w:rightChars="-496" w:right="-1190"/>
      <w:rPr>
        <w:rFonts w:cs="Times New Roman"/>
      </w:rPr>
    </w:pPr>
    <w:r>
      <w:rPr>
        <w:rFonts w:cs="Times New Roman" w:hint="eastAsia"/>
      </w:rPr>
      <w:t>計畫案：</w:t>
    </w:r>
    <w:r>
      <w:rPr>
        <w:rFonts w:cs="Times New Roman" w:hint="eastAsia"/>
      </w:rPr>
      <w:t>113</w:t>
    </w:r>
    <w:r>
      <w:rPr>
        <w:rFonts w:cs="Times New Roman" w:hint="eastAsia"/>
      </w:rPr>
      <w:t>年</w:t>
    </w:r>
    <w:r w:rsidRPr="007977F3">
      <w:rPr>
        <w:rFonts w:cs="Times New Roman" w:hint="eastAsia"/>
      </w:rPr>
      <w:t>「國際海事公約及趨勢動態掌握與因應分析」</w:t>
    </w:r>
    <w:proofErr w:type="gramStart"/>
    <w:r w:rsidRPr="007977F3">
      <w:rPr>
        <w:rFonts w:cs="Times New Roman" w:hint="eastAsia"/>
      </w:rPr>
      <w:t>後擴服務</w:t>
    </w:r>
    <w:proofErr w:type="gramEnd"/>
    <w:r w:rsidRPr="007977F3">
      <w:rPr>
        <w:rFonts w:cs="Times New Roman" w:hint="eastAsia"/>
      </w:rPr>
      <w:t>案</w:t>
    </w:r>
    <w:r>
      <w:rPr>
        <w:rFonts w:cs="Times New Roman" w:hint="eastAsia"/>
      </w:rPr>
      <w:t xml:space="preserve">            </w:t>
    </w:r>
    <w:r>
      <w:rPr>
        <w:rFonts w:cs="Times New Roman"/>
      </w:rPr>
      <w:t xml:space="preserve">         </w:t>
    </w:r>
    <w:r w:rsidRPr="00C57077">
      <w:rPr>
        <w:rFonts w:cs="Times New Roman"/>
      </w:rPr>
      <w:t>11</w:t>
    </w:r>
    <w:r>
      <w:rPr>
        <w:rFonts w:cs="Times New Roman" w:hint="eastAsia"/>
      </w:rPr>
      <w:t>3</w:t>
    </w:r>
    <w:r w:rsidRPr="00C57077">
      <w:rPr>
        <w:rFonts w:cs="Times New Roman"/>
      </w:rPr>
      <w:t>年</w:t>
    </w:r>
    <w:r w:rsidR="000D16EC">
      <w:rPr>
        <w:rFonts w:cs="Times New Roman" w:hint="eastAsia"/>
      </w:rPr>
      <w:t>7</w:t>
    </w:r>
    <w:r w:rsidRPr="00C57077">
      <w:rPr>
        <w:rFonts w:cs="Times New Roman"/>
      </w:rPr>
      <w:t>月補充資料</w:t>
    </w:r>
  </w:p>
  <w:p w14:paraId="63DBF4AC" w14:textId="77777777" w:rsidR="00D6158C" w:rsidRPr="00D57CA7" w:rsidRDefault="00D6158C" w:rsidP="00D6158C">
    <w:pPr>
      <w:pStyle w:val="aa"/>
    </w:pPr>
  </w:p>
  <w:p w14:paraId="08466226" w14:textId="77777777" w:rsidR="00D6158C" w:rsidRPr="00D6158C" w:rsidRDefault="00D6158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91A01"/>
    <w:multiLevelType w:val="hybridMultilevel"/>
    <w:tmpl w:val="81DAFB02"/>
    <w:lvl w:ilvl="0" w:tplc="B69E3DC2">
      <w:start w:val="1"/>
      <w:numFmt w:val="decimal"/>
      <w:lvlText w:val="(%1)"/>
      <w:lvlJc w:val="left"/>
      <w:pPr>
        <w:ind w:left="1440" w:hanging="480"/>
      </w:pPr>
      <w:rPr>
        <w:rFonts w:hint="eastAsia"/>
        <w:strike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315D6B2D"/>
    <w:multiLevelType w:val="hybridMultilevel"/>
    <w:tmpl w:val="630C18B6"/>
    <w:lvl w:ilvl="0" w:tplc="0409000F">
      <w:start w:val="1"/>
      <w:numFmt w:val="decimal"/>
      <w:lvlText w:val="%1."/>
      <w:lvlJc w:val="left"/>
      <w:pPr>
        <w:ind w:left="960" w:hanging="480"/>
      </w:pPr>
    </w:lvl>
    <w:lvl w:ilvl="1" w:tplc="3CB083DE">
      <w:start w:val="1"/>
      <w:numFmt w:val="upperRoman"/>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573E3425"/>
    <w:multiLevelType w:val="hybridMultilevel"/>
    <w:tmpl w:val="5CCA49DC"/>
    <w:lvl w:ilvl="0" w:tplc="1EF29B72">
      <w:start w:val="1"/>
      <w:numFmt w:val="decimal"/>
      <w:lvlText w:val="(%1)"/>
      <w:lvlJc w:val="left"/>
      <w:pPr>
        <w:ind w:left="1440" w:hanging="480"/>
      </w:pPr>
      <w:rPr>
        <w:rFonts w:ascii="Times New Roman" w:eastAsia="標楷體" w:hAnsi="Times New Roman" w:cs="Times New Roman"/>
      </w:rPr>
    </w:lvl>
    <w:lvl w:ilvl="1" w:tplc="1EF29B72">
      <w:start w:val="1"/>
      <w:numFmt w:val="decimal"/>
      <w:lvlText w:val="(%2)"/>
      <w:lvlJc w:val="left"/>
      <w:pPr>
        <w:ind w:left="1920" w:hanging="480"/>
      </w:pPr>
      <w:rPr>
        <w:rFonts w:ascii="Times New Roman" w:eastAsia="標楷體" w:hAnsi="Times New Roman" w:cs="Times New Roman" w:hint="eastAsia"/>
        <w:strike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7A586078"/>
    <w:multiLevelType w:val="hybridMultilevel"/>
    <w:tmpl w:val="424CABD4"/>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F866E962">
      <w:start w:val="1"/>
      <w:numFmt w:val="decimalEnclosedCircle"/>
      <w:lvlText w:val="%3."/>
      <w:lvlJc w:val="left"/>
      <w:pPr>
        <w:ind w:left="2400" w:hanging="480"/>
      </w:pPr>
      <w:rPr>
        <w:rFonts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7B66443B"/>
    <w:multiLevelType w:val="hybridMultilevel"/>
    <w:tmpl w:val="E138CEDC"/>
    <w:lvl w:ilvl="0" w:tplc="1F72CCD6">
      <w:start w:val="1"/>
      <w:numFmt w:val="taiwaneseCountingThousand"/>
      <w:lvlText w:val="%1、"/>
      <w:lvlJc w:val="left"/>
      <w:pPr>
        <w:ind w:left="1190" w:hanging="480"/>
      </w:pPr>
      <w:rPr>
        <w:sz w:val="28"/>
        <w:szCs w:val="28"/>
      </w:rPr>
    </w:lvl>
    <w:lvl w:ilvl="1" w:tplc="0409000F">
      <w:start w:val="1"/>
      <w:numFmt w:val="decimal"/>
      <w:lvlText w:val="%2."/>
      <w:lvlJc w:val="left"/>
      <w:pPr>
        <w:ind w:left="960" w:hanging="480"/>
      </w:pPr>
      <w:rPr>
        <w:rFonts w:hint="eastAsia"/>
        <w:strike w:val="0"/>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2"/>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BB"/>
    <w:rsid w:val="000032EF"/>
    <w:rsid w:val="0001544F"/>
    <w:rsid w:val="00032FBD"/>
    <w:rsid w:val="00034F84"/>
    <w:rsid w:val="00044789"/>
    <w:rsid w:val="00053495"/>
    <w:rsid w:val="00055A16"/>
    <w:rsid w:val="000562D5"/>
    <w:rsid w:val="0007043B"/>
    <w:rsid w:val="00070DE6"/>
    <w:rsid w:val="0007606C"/>
    <w:rsid w:val="00081EE8"/>
    <w:rsid w:val="000835F4"/>
    <w:rsid w:val="00092018"/>
    <w:rsid w:val="000A43D0"/>
    <w:rsid w:val="000A78E7"/>
    <w:rsid w:val="000B43A4"/>
    <w:rsid w:val="000C0F33"/>
    <w:rsid w:val="000C3492"/>
    <w:rsid w:val="000D16EC"/>
    <w:rsid w:val="000F7F97"/>
    <w:rsid w:val="001026A9"/>
    <w:rsid w:val="00110C6A"/>
    <w:rsid w:val="001216E0"/>
    <w:rsid w:val="001234F7"/>
    <w:rsid w:val="00130BF3"/>
    <w:rsid w:val="001315E6"/>
    <w:rsid w:val="00133C42"/>
    <w:rsid w:val="00141E69"/>
    <w:rsid w:val="00142018"/>
    <w:rsid w:val="00142EF8"/>
    <w:rsid w:val="001438F8"/>
    <w:rsid w:val="001443C3"/>
    <w:rsid w:val="0015200C"/>
    <w:rsid w:val="00165882"/>
    <w:rsid w:val="00165D9E"/>
    <w:rsid w:val="00172E95"/>
    <w:rsid w:val="0017335D"/>
    <w:rsid w:val="00173D53"/>
    <w:rsid w:val="0019485C"/>
    <w:rsid w:val="00196D00"/>
    <w:rsid w:val="001A6458"/>
    <w:rsid w:val="001B523F"/>
    <w:rsid w:val="001D2CCD"/>
    <w:rsid w:val="001D3AAF"/>
    <w:rsid w:val="001F6E19"/>
    <w:rsid w:val="002053F9"/>
    <w:rsid w:val="002121A0"/>
    <w:rsid w:val="002228DD"/>
    <w:rsid w:val="00252CA4"/>
    <w:rsid w:val="002720B3"/>
    <w:rsid w:val="002949C7"/>
    <w:rsid w:val="00297745"/>
    <w:rsid w:val="002A39CC"/>
    <w:rsid w:val="002D4B8D"/>
    <w:rsid w:val="002E264C"/>
    <w:rsid w:val="002E7052"/>
    <w:rsid w:val="002F3B6D"/>
    <w:rsid w:val="002F60E1"/>
    <w:rsid w:val="0031766B"/>
    <w:rsid w:val="0031779E"/>
    <w:rsid w:val="00323808"/>
    <w:rsid w:val="00352B96"/>
    <w:rsid w:val="003562CB"/>
    <w:rsid w:val="00360EC3"/>
    <w:rsid w:val="00374807"/>
    <w:rsid w:val="003934BF"/>
    <w:rsid w:val="003B2D5A"/>
    <w:rsid w:val="003E0974"/>
    <w:rsid w:val="003E429C"/>
    <w:rsid w:val="003F2B37"/>
    <w:rsid w:val="003F3274"/>
    <w:rsid w:val="003F5F95"/>
    <w:rsid w:val="00400891"/>
    <w:rsid w:val="004024C1"/>
    <w:rsid w:val="00403351"/>
    <w:rsid w:val="0041254B"/>
    <w:rsid w:val="00415C3F"/>
    <w:rsid w:val="004214D4"/>
    <w:rsid w:val="0042261B"/>
    <w:rsid w:val="004301ED"/>
    <w:rsid w:val="00432BCE"/>
    <w:rsid w:val="00433B64"/>
    <w:rsid w:val="00434B39"/>
    <w:rsid w:val="0044096D"/>
    <w:rsid w:val="004463CC"/>
    <w:rsid w:val="004522AE"/>
    <w:rsid w:val="00456E6C"/>
    <w:rsid w:val="00457CFD"/>
    <w:rsid w:val="00461D88"/>
    <w:rsid w:val="00487441"/>
    <w:rsid w:val="004A3254"/>
    <w:rsid w:val="004C51EC"/>
    <w:rsid w:val="004C51FC"/>
    <w:rsid w:val="005028D9"/>
    <w:rsid w:val="00512707"/>
    <w:rsid w:val="00514EB2"/>
    <w:rsid w:val="00523BE9"/>
    <w:rsid w:val="00542EAD"/>
    <w:rsid w:val="00545745"/>
    <w:rsid w:val="00547B87"/>
    <w:rsid w:val="00552D5D"/>
    <w:rsid w:val="00561848"/>
    <w:rsid w:val="00570E98"/>
    <w:rsid w:val="00571104"/>
    <w:rsid w:val="00580B2D"/>
    <w:rsid w:val="005854CC"/>
    <w:rsid w:val="005902A5"/>
    <w:rsid w:val="0059396D"/>
    <w:rsid w:val="005A0AD4"/>
    <w:rsid w:val="005A2859"/>
    <w:rsid w:val="005A4DEC"/>
    <w:rsid w:val="005A6652"/>
    <w:rsid w:val="005A74CE"/>
    <w:rsid w:val="005B65BB"/>
    <w:rsid w:val="005B7230"/>
    <w:rsid w:val="005C1530"/>
    <w:rsid w:val="005D43F3"/>
    <w:rsid w:val="005D7D5B"/>
    <w:rsid w:val="005E648A"/>
    <w:rsid w:val="00601AA0"/>
    <w:rsid w:val="00604B32"/>
    <w:rsid w:val="006074C2"/>
    <w:rsid w:val="006118DA"/>
    <w:rsid w:val="00614E3C"/>
    <w:rsid w:val="00620B1D"/>
    <w:rsid w:val="00625D3E"/>
    <w:rsid w:val="006400F4"/>
    <w:rsid w:val="00640652"/>
    <w:rsid w:val="0064163F"/>
    <w:rsid w:val="00641DBA"/>
    <w:rsid w:val="00642F30"/>
    <w:rsid w:val="00643F95"/>
    <w:rsid w:val="0064483F"/>
    <w:rsid w:val="00655300"/>
    <w:rsid w:val="00655375"/>
    <w:rsid w:val="0066732A"/>
    <w:rsid w:val="00683298"/>
    <w:rsid w:val="00687964"/>
    <w:rsid w:val="00690B65"/>
    <w:rsid w:val="006929A3"/>
    <w:rsid w:val="006B3752"/>
    <w:rsid w:val="006B4256"/>
    <w:rsid w:val="006B4E6A"/>
    <w:rsid w:val="006C3EB7"/>
    <w:rsid w:val="006C59A2"/>
    <w:rsid w:val="006D3BC6"/>
    <w:rsid w:val="006D542F"/>
    <w:rsid w:val="006E32D0"/>
    <w:rsid w:val="006E7C77"/>
    <w:rsid w:val="00714299"/>
    <w:rsid w:val="007236B9"/>
    <w:rsid w:val="00725D26"/>
    <w:rsid w:val="00725E91"/>
    <w:rsid w:val="00733056"/>
    <w:rsid w:val="007341F1"/>
    <w:rsid w:val="00734FEA"/>
    <w:rsid w:val="00735337"/>
    <w:rsid w:val="00736138"/>
    <w:rsid w:val="00760514"/>
    <w:rsid w:val="007A4876"/>
    <w:rsid w:val="007A7903"/>
    <w:rsid w:val="007B794E"/>
    <w:rsid w:val="007C3495"/>
    <w:rsid w:val="007D65BD"/>
    <w:rsid w:val="007E4D3A"/>
    <w:rsid w:val="007E7168"/>
    <w:rsid w:val="00820354"/>
    <w:rsid w:val="00827C54"/>
    <w:rsid w:val="008335CA"/>
    <w:rsid w:val="00835A28"/>
    <w:rsid w:val="00847D6A"/>
    <w:rsid w:val="008549E8"/>
    <w:rsid w:val="008659D0"/>
    <w:rsid w:val="00870061"/>
    <w:rsid w:val="0087500B"/>
    <w:rsid w:val="00893529"/>
    <w:rsid w:val="00894A25"/>
    <w:rsid w:val="008952D9"/>
    <w:rsid w:val="008A1727"/>
    <w:rsid w:val="008A29AA"/>
    <w:rsid w:val="008B2C0E"/>
    <w:rsid w:val="008B3E7D"/>
    <w:rsid w:val="008B4658"/>
    <w:rsid w:val="008C1C49"/>
    <w:rsid w:val="008C57B5"/>
    <w:rsid w:val="008C6ADE"/>
    <w:rsid w:val="008D34F2"/>
    <w:rsid w:val="008D4D6F"/>
    <w:rsid w:val="008D756F"/>
    <w:rsid w:val="008D7807"/>
    <w:rsid w:val="008E3729"/>
    <w:rsid w:val="008F26A1"/>
    <w:rsid w:val="008F495D"/>
    <w:rsid w:val="008F731A"/>
    <w:rsid w:val="00904763"/>
    <w:rsid w:val="009050B6"/>
    <w:rsid w:val="00905361"/>
    <w:rsid w:val="00913B58"/>
    <w:rsid w:val="00920693"/>
    <w:rsid w:val="009520E4"/>
    <w:rsid w:val="009540EB"/>
    <w:rsid w:val="00962C8A"/>
    <w:rsid w:val="009658A3"/>
    <w:rsid w:val="00975097"/>
    <w:rsid w:val="0098695E"/>
    <w:rsid w:val="009875D8"/>
    <w:rsid w:val="00994C18"/>
    <w:rsid w:val="009A672B"/>
    <w:rsid w:val="009B4221"/>
    <w:rsid w:val="009B7ED7"/>
    <w:rsid w:val="009C41C0"/>
    <w:rsid w:val="009D2E5F"/>
    <w:rsid w:val="009D39BE"/>
    <w:rsid w:val="009D456D"/>
    <w:rsid w:val="009D5EA5"/>
    <w:rsid w:val="009E2CE1"/>
    <w:rsid w:val="009E4DC3"/>
    <w:rsid w:val="009F582F"/>
    <w:rsid w:val="009F7AE9"/>
    <w:rsid w:val="00A02425"/>
    <w:rsid w:val="00A11A6D"/>
    <w:rsid w:val="00A11A78"/>
    <w:rsid w:val="00A1328E"/>
    <w:rsid w:val="00A142D9"/>
    <w:rsid w:val="00A17390"/>
    <w:rsid w:val="00A4054F"/>
    <w:rsid w:val="00A40E7D"/>
    <w:rsid w:val="00A448E4"/>
    <w:rsid w:val="00A453FF"/>
    <w:rsid w:val="00A509D2"/>
    <w:rsid w:val="00A55BE4"/>
    <w:rsid w:val="00A56901"/>
    <w:rsid w:val="00A60898"/>
    <w:rsid w:val="00A63337"/>
    <w:rsid w:val="00A7506B"/>
    <w:rsid w:val="00A75E76"/>
    <w:rsid w:val="00A766C8"/>
    <w:rsid w:val="00A838DE"/>
    <w:rsid w:val="00A84E84"/>
    <w:rsid w:val="00A94C37"/>
    <w:rsid w:val="00A95604"/>
    <w:rsid w:val="00AA5B09"/>
    <w:rsid w:val="00AB0581"/>
    <w:rsid w:val="00AB5C61"/>
    <w:rsid w:val="00AC17DE"/>
    <w:rsid w:val="00AC64C1"/>
    <w:rsid w:val="00AF1BF0"/>
    <w:rsid w:val="00AF241D"/>
    <w:rsid w:val="00B22458"/>
    <w:rsid w:val="00B26188"/>
    <w:rsid w:val="00B326CF"/>
    <w:rsid w:val="00B52063"/>
    <w:rsid w:val="00B54AD6"/>
    <w:rsid w:val="00B54D9D"/>
    <w:rsid w:val="00B61F70"/>
    <w:rsid w:val="00B67A2A"/>
    <w:rsid w:val="00B67C2B"/>
    <w:rsid w:val="00B67C4A"/>
    <w:rsid w:val="00B80795"/>
    <w:rsid w:val="00B80963"/>
    <w:rsid w:val="00B857BB"/>
    <w:rsid w:val="00B86EEA"/>
    <w:rsid w:val="00B92913"/>
    <w:rsid w:val="00B9588C"/>
    <w:rsid w:val="00BA36FF"/>
    <w:rsid w:val="00BC3D07"/>
    <w:rsid w:val="00BD5B02"/>
    <w:rsid w:val="00BE3F78"/>
    <w:rsid w:val="00BE6567"/>
    <w:rsid w:val="00BF1DBA"/>
    <w:rsid w:val="00C0249A"/>
    <w:rsid w:val="00C42A5B"/>
    <w:rsid w:val="00C432E9"/>
    <w:rsid w:val="00C4574D"/>
    <w:rsid w:val="00C60343"/>
    <w:rsid w:val="00C72C7D"/>
    <w:rsid w:val="00C774A8"/>
    <w:rsid w:val="00CA044C"/>
    <w:rsid w:val="00CA2406"/>
    <w:rsid w:val="00CA31A5"/>
    <w:rsid w:val="00CB09C9"/>
    <w:rsid w:val="00CB670C"/>
    <w:rsid w:val="00CB745E"/>
    <w:rsid w:val="00CC2A3A"/>
    <w:rsid w:val="00CC6991"/>
    <w:rsid w:val="00CD06F7"/>
    <w:rsid w:val="00CD5593"/>
    <w:rsid w:val="00CE38D1"/>
    <w:rsid w:val="00D003E3"/>
    <w:rsid w:val="00D07008"/>
    <w:rsid w:val="00D13FDF"/>
    <w:rsid w:val="00D17052"/>
    <w:rsid w:val="00D30E2C"/>
    <w:rsid w:val="00D33659"/>
    <w:rsid w:val="00D36BE6"/>
    <w:rsid w:val="00D406EE"/>
    <w:rsid w:val="00D512A6"/>
    <w:rsid w:val="00D56615"/>
    <w:rsid w:val="00D6158C"/>
    <w:rsid w:val="00D661A3"/>
    <w:rsid w:val="00D81F1A"/>
    <w:rsid w:val="00D855FC"/>
    <w:rsid w:val="00D863CE"/>
    <w:rsid w:val="00D87AB4"/>
    <w:rsid w:val="00D9277B"/>
    <w:rsid w:val="00DB0EEC"/>
    <w:rsid w:val="00DB42FC"/>
    <w:rsid w:val="00DB68C4"/>
    <w:rsid w:val="00DB6E25"/>
    <w:rsid w:val="00DD23AE"/>
    <w:rsid w:val="00DD4549"/>
    <w:rsid w:val="00DD4979"/>
    <w:rsid w:val="00DD500D"/>
    <w:rsid w:val="00DF2B9A"/>
    <w:rsid w:val="00DF56A9"/>
    <w:rsid w:val="00DF5E14"/>
    <w:rsid w:val="00E05642"/>
    <w:rsid w:val="00E10A54"/>
    <w:rsid w:val="00E1700B"/>
    <w:rsid w:val="00E25CA3"/>
    <w:rsid w:val="00E27AEE"/>
    <w:rsid w:val="00E300CC"/>
    <w:rsid w:val="00E372BE"/>
    <w:rsid w:val="00E41031"/>
    <w:rsid w:val="00E50DF6"/>
    <w:rsid w:val="00E57DAC"/>
    <w:rsid w:val="00E60214"/>
    <w:rsid w:val="00E618DB"/>
    <w:rsid w:val="00E6348F"/>
    <w:rsid w:val="00E70F98"/>
    <w:rsid w:val="00E90C4A"/>
    <w:rsid w:val="00E9100D"/>
    <w:rsid w:val="00EA0946"/>
    <w:rsid w:val="00EA436C"/>
    <w:rsid w:val="00EA63B0"/>
    <w:rsid w:val="00EB5A62"/>
    <w:rsid w:val="00EB6898"/>
    <w:rsid w:val="00EC3B38"/>
    <w:rsid w:val="00ED1ACD"/>
    <w:rsid w:val="00EE3F77"/>
    <w:rsid w:val="00EE50AB"/>
    <w:rsid w:val="00F1486A"/>
    <w:rsid w:val="00F218D4"/>
    <w:rsid w:val="00F26FC9"/>
    <w:rsid w:val="00F279C6"/>
    <w:rsid w:val="00F341A1"/>
    <w:rsid w:val="00F3750F"/>
    <w:rsid w:val="00F43A24"/>
    <w:rsid w:val="00F44004"/>
    <w:rsid w:val="00F625D0"/>
    <w:rsid w:val="00F6787B"/>
    <w:rsid w:val="00F72897"/>
    <w:rsid w:val="00F72BD2"/>
    <w:rsid w:val="00FA0056"/>
    <w:rsid w:val="00FA1588"/>
    <w:rsid w:val="00FB0945"/>
    <w:rsid w:val="00FB09C7"/>
    <w:rsid w:val="00FB1A9F"/>
    <w:rsid w:val="00FE3A9A"/>
    <w:rsid w:val="00FF07C8"/>
    <w:rsid w:val="00FF3D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26512"/>
  <w15:chartTrackingRefBased/>
  <w15:docId w15:val="{889F3F36-A6B0-46AD-B05C-58ED4619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7C4A"/>
    <w:pPr>
      <w:widowControl w:val="0"/>
      <w:spacing w:before="120" w:after="120"/>
    </w:pPr>
    <w:rPr>
      <w:rFonts w:ascii="Times New Roman" w:eastAsia="標楷體"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857BB"/>
    <w:pPr>
      <w:ind w:leftChars="200" w:left="480"/>
    </w:pPr>
  </w:style>
  <w:style w:type="paragraph" w:styleId="a5">
    <w:name w:val="footnote text"/>
    <w:basedOn w:val="a"/>
    <w:link w:val="a6"/>
    <w:uiPriority w:val="99"/>
    <w:semiHidden/>
    <w:unhideWhenUsed/>
    <w:rsid w:val="00B857BB"/>
    <w:pPr>
      <w:snapToGrid w:val="0"/>
    </w:pPr>
    <w:rPr>
      <w:sz w:val="20"/>
      <w:szCs w:val="20"/>
    </w:rPr>
  </w:style>
  <w:style w:type="character" w:customStyle="1" w:styleId="a6">
    <w:name w:val="註腳文字 字元"/>
    <w:basedOn w:val="a0"/>
    <w:link w:val="a5"/>
    <w:uiPriority w:val="99"/>
    <w:semiHidden/>
    <w:rsid w:val="00B857BB"/>
    <w:rPr>
      <w:sz w:val="20"/>
      <w:szCs w:val="20"/>
    </w:rPr>
  </w:style>
  <w:style w:type="character" w:styleId="a7">
    <w:name w:val="footnote reference"/>
    <w:basedOn w:val="a0"/>
    <w:uiPriority w:val="99"/>
    <w:semiHidden/>
    <w:unhideWhenUsed/>
    <w:rsid w:val="00B857BB"/>
    <w:rPr>
      <w:vertAlign w:val="superscript"/>
    </w:rPr>
  </w:style>
  <w:style w:type="character" w:styleId="a8">
    <w:name w:val="Hyperlink"/>
    <w:basedOn w:val="a0"/>
    <w:uiPriority w:val="99"/>
    <w:unhideWhenUsed/>
    <w:rsid w:val="00B857BB"/>
    <w:rPr>
      <w:color w:val="0563C1" w:themeColor="hyperlink"/>
      <w:u w:val="single"/>
    </w:rPr>
  </w:style>
  <w:style w:type="character" w:styleId="a9">
    <w:name w:val="Unresolved Mention"/>
    <w:basedOn w:val="a0"/>
    <w:uiPriority w:val="99"/>
    <w:semiHidden/>
    <w:unhideWhenUsed/>
    <w:rsid w:val="00B857BB"/>
    <w:rPr>
      <w:color w:val="605E5C"/>
      <w:shd w:val="clear" w:color="auto" w:fill="E1DFDD"/>
    </w:rPr>
  </w:style>
  <w:style w:type="paragraph" w:styleId="aa">
    <w:name w:val="header"/>
    <w:basedOn w:val="a"/>
    <w:link w:val="ab"/>
    <w:uiPriority w:val="99"/>
    <w:unhideWhenUsed/>
    <w:rsid w:val="00DB6E25"/>
    <w:pPr>
      <w:tabs>
        <w:tab w:val="center" w:pos="4153"/>
        <w:tab w:val="right" w:pos="8306"/>
      </w:tabs>
      <w:snapToGrid w:val="0"/>
    </w:pPr>
    <w:rPr>
      <w:sz w:val="20"/>
      <w:szCs w:val="20"/>
    </w:rPr>
  </w:style>
  <w:style w:type="character" w:customStyle="1" w:styleId="ab">
    <w:name w:val="頁首 字元"/>
    <w:basedOn w:val="a0"/>
    <w:link w:val="aa"/>
    <w:uiPriority w:val="99"/>
    <w:rsid w:val="00DB6E25"/>
    <w:rPr>
      <w:sz w:val="20"/>
      <w:szCs w:val="20"/>
    </w:rPr>
  </w:style>
  <w:style w:type="paragraph" w:styleId="ac">
    <w:name w:val="footer"/>
    <w:basedOn w:val="a"/>
    <w:link w:val="ad"/>
    <w:uiPriority w:val="99"/>
    <w:unhideWhenUsed/>
    <w:rsid w:val="00DB6E25"/>
    <w:pPr>
      <w:tabs>
        <w:tab w:val="center" w:pos="4153"/>
        <w:tab w:val="right" w:pos="8306"/>
      </w:tabs>
      <w:snapToGrid w:val="0"/>
    </w:pPr>
    <w:rPr>
      <w:sz w:val="20"/>
      <w:szCs w:val="20"/>
    </w:rPr>
  </w:style>
  <w:style w:type="character" w:customStyle="1" w:styleId="ad">
    <w:name w:val="頁尾 字元"/>
    <w:basedOn w:val="a0"/>
    <w:link w:val="ac"/>
    <w:uiPriority w:val="99"/>
    <w:rsid w:val="00DB6E25"/>
    <w:rPr>
      <w:sz w:val="20"/>
      <w:szCs w:val="20"/>
    </w:rPr>
  </w:style>
  <w:style w:type="paragraph" w:styleId="Web">
    <w:name w:val="Normal (Web)"/>
    <w:basedOn w:val="a"/>
    <w:uiPriority w:val="99"/>
    <w:semiHidden/>
    <w:unhideWhenUsed/>
    <w:rsid w:val="00034F84"/>
    <w:pPr>
      <w:widowControl/>
      <w:spacing w:before="100" w:beforeAutospacing="1" w:after="100" w:afterAutospacing="1"/>
    </w:pPr>
    <w:rPr>
      <w:rFonts w:ascii="新細明體" w:eastAsia="新細明體" w:hAnsi="新細明體" w:cs="新細明體"/>
      <w:kern w:val="0"/>
      <w:szCs w:val="24"/>
    </w:rPr>
  </w:style>
  <w:style w:type="character" w:customStyle="1" w:styleId="a4">
    <w:name w:val="清單段落 字元"/>
    <w:basedOn w:val="a0"/>
    <w:link w:val="a3"/>
    <w:uiPriority w:val="34"/>
    <w:rsid w:val="008B2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5145">
      <w:bodyDiv w:val="1"/>
      <w:marLeft w:val="0"/>
      <w:marRight w:val="0"/>
      <w:marTop w:val="0"/>
      <w:marBottom w:val="0"/>
      <w:divBdr>
        <w:top w:val="none" w:sz="0" w:space="0" w:color="auto"/>
        <w:left w:val="none" w:sz="0" w:space="0" w:color="auto"/>
        <w:bottom w:val="none" w:sz="0" w:space="0" w:color="auto"/>
        <w:right w:val="none" w:sz="0" w:space="0" w:color="auto"/>
      </w:divBdr>
    </w:div>
    <w:div w:id="127743121">
      <w:bodyDiv w:val="1"/>
      <w:marLeft w:val="0"/>
      <w:marRight w:val="0"/>
      <w:marTop w:val="0"/>
      <w:marBottom w:val="0"/>
      <w:divBdr>
        <w:top w:val="none" w:sz="0" w:space="0" w:color="auto"/>
        <w:left w:val="none" w:sz="0" w:space="0" w:color="auto"/>
        <w:bottom w:val="none" w:sz="0" w:space="0" w:color="auto"/>
        <w:right w:val="none" w:sz="0" w:space="0" w:color="auto"/>
      </w:divBdr>
    </w:div>
    <w:div w:id="194999654">
      <w:bodyDiv w:val="1"/>
      <w:marLeft w:val="0"/>
      <w:marRight w:val="0"/>
      <w:marTop w:val="0"/>
      <w:marBottom w:val="0"/>
      <w:divBdr>
        <w:top w:val="none" w:sz="0" w:space="0" w:color="auto"/>
        <w:left w:val="none" w:sz="0" w:space="0" w:color="auto"/>
        <w:bottom w:val="none" w:sz="0" w:space="0" w:color="auto"/>
        <w:right w:val="none" w:sz="0" w:space="0" w:color="auto"/>
      </w:divBdr>
    </w:div>
    <w:div w:id="393236499">
      <w:bodyDiv w:val="1"/>
      <w:marLeft w:val="0"/>
      <w:marRight w:val="0"/>
      <w:marTop w:val="0"/>
      <w:marBottom w:val="0"/>
      <w:divBdr>
        <w:top w:val="none" w:sz="0" w:space="0" w:color="auto"/>
        <w:left w:val="none" w:sz="0" w:space="0" w:color="auto"/>
        <w:bottom w:val="none" w:sz="0" w:space="0" w:color="auto"/>
        <w:right w:val="none" w:sz="0" w:space="0" w:color="auto"/>
      </w:divBdr>
    </w:div>
    <w:div w:id="453792574">
      <w:bodyDiv w:val="1"/>
      <w:marLeft w:val="0"/>
      <w:marRight w:val="0"/>
      <w:marTop w:val="0"/>
      <w:marBottom w:val="0"/>
      <w:divBdr>
        <w:top w:val="none" w:sz="0" w:space="0" w:color="auto"/>
        <w:left w:val="none" w:sz="0" w:space="0" w:color="auto"/>
        <w:bottom w:val="none" w:sz="0" w:space="0" w:color="auto"/>
        <w:right w:val="none" w:sz="0" w:space="0" w:color="auto"/>
      </w:divBdr>
    </w:div>
    <w:div w:id="581257119">
      <w:bodyDiv w:val="1"/>
      <w:marLeft w:val="0"/>
      <w:marRight w:val="0"/>
      <w:marTop w:val="0"/>
      <w:marBottom w:val="0"/>
      <w:divBdr>
        <w:top w:val="none" w:sz="0" w:space="0" w:color="auto"/>
        <w:left w:val="none" w:sz="0" w:space="0" w:color="auto"/>
        <w:bottom w:val="none" w:sz="0" w:space="0" w:color="auto"/>
        <w:right w:val="none" w:sz="0" w:space="0" w:color="auto"/>
      </w:divBdr>
    </w:div>
    <w:div w:id="1219169216">
      <w:bodyDiv w:val="1"/>
      <w:marLeft w:val="0"/>
      <w:marRight w:val="0"/>
      <w:marTop w:val="0"/>
      <w:marBottom w:val="0"/>
      <w:divBdr>
        <w:top w:val="none" w:sz="0" w:space="0" w:color="auto"/>
        <w:left w:val="none" w:sz="0" w:space="0" w:color="auto"/>
        <w:bottom w:val="none" w:sz="0" w:space="0" w:color="auto"/>
        <w:right w:val="none" w:sz="0" w:space="0" w:color="auto"/>
      </w:divBdr>
    </w:div>
    <w:div w:id="1340111686">
      <w:bodyDiv w:val="1"/>
      <w:marLeft w:val="0"/>
      <w:marRight w:val="0"/>
      <w:marTop w:val="0"/>
      <w:marBottom w:val="0"/>
      <w:divBdr>
        <w:top w:val="none" w:sz="0" w:space="0" w:color="auto"/>
        <w:left w:val="none" w:sz="0" w:space="0" w:color="auto"/>
        <w:bottom w:val="none" w:sz="0" w:space="0" w:color="auto"/>
        <w:right w:val="none" w:sz="0" w:space="0" w:color="auto"/>
      </w:divBdr>
    </w:div>
    <w:div w:id="1956137994">
      <w:bodyDiv w:val="1"/>
      <w:marLeft w:val="0"/>
      <w:marRight w:val="0"/>
      <w:marTop w:val="0"/>
      <w:marBottom w:val="0"/>
      <w:divBdr>
        <w:top w:val="none" w:sz="0" w:space="0" w:color="auto"/>
        <w:left w:val="none" w:sz="0" w:space="0" w:color="auto"/>
        <w:bottom w:val="none" w:sz="0" w:space="0" w:color="auto"/>
        <w:right w:val="none" w:sz="0" w:space="0" w:color="auto"/>
      </w:divBdr>
    </w:div>
    <w:div w:id="206865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o.org/en/MediaCentre/MeetingSummaries/Pages/TC-74th-session.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imo.org/en/MediaCentre/MeetingSummaries/Pages/TC-74th-session.aspx" TargetMode="External"/><Relationship Id="rId1" Type="http://schemas.openxmlformats.org/officeDocument/2006/relationships/hyperlink" Target="https://www.imo.org/en/MediaCentre/MeetingSummaries/Pages/TC-Default.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992F-D982-43D3-9FB0-A5886A062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1529</Words>
  <Characters>3856</Characters>
  <Application>Microsoft Office Word</Application>
  <DocSecurity>0</DocSecurity>
  <Lines>96</Lines>
  <Paragraphs>62</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34</cp:revision>
  <cp:lastPrinted>2024-06-27T05:41:00Z</cp:lastPrinted>
  <dcterms:created xsi:type="dcterms:W3CDTF">2024-07-29T10:00:00Z</dcterms:created>
  <dcterms:modified xsi:type="dcterms:W3CDTF">2024-07-29T10:26:00Z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bed860e2-71d3-43e5-84d5-feb1a47c20d1</vt:lpwstr>
  </property>
</Properties>
</file>